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13F0" w14:textId="01A3F9E4" w:rsidR="00E23314" w:rsidRPr="000779D5" w:rsidRDefault="00557EA9" w:rsidP="004701B1">
      <w:pPr>
        <w:jc w:val="center"/>
        <w:rPr>
          <w:rFonts w:ascii="Times New Roman" w:hAnsi="Times New Roman" w:cs="Times New Roman"/>
          <w:b/>
        </w:rPr>
      </w:pPr>
      <w:r w:rsidRPr="000779D5">
        <w:rPr>
          <w:rFonts w:ascii="Times New Roman" w:hAnsi="Times New Roman" w:cs="Times New Roman"/>
          <w:b/>
        </w:rPr>
        <w:t>FY</w:t>
      </w:r>
      <w:r w:rsidR="00802E52" w:rsidRPr="000779D5">
        <w:rPr>
          <w:rFonts w:ascii="Times New Roman" w:hAnsi="Times New Roman" w:cs="Times New Roman"/>
          <w:b/>
        </w:rPr>
        <w:t>20</w:t>
      </w:r>
      <w:r w:rsidR="0076511E">
        <w:rPr>
          <w:rFonts w:ascii="Times New Roman" w:hAnsi="Times New Roman" w:cs="Times New Roman"/>
          <w:b/>
        </w:rPr>
        <w:t>2</w:t>
      </w:r>
      <w:r w:rsidR="00AB11EF">
        <w:rPr>
          <w:rFonts w:ascii="Times New Roman" w:hAnsi="Times New Roman" w:cs="Times New Roman"/>
          <w:b/>
        </w:rPr>
        <w:t>2</w:t>
      </w:r>
      <w:r w:rsidR="00E23314" w:rsidRPr="000779D5">
        <w:rPr>
          <w:rFonts w:ascii="Times New Roman" w:hAnsi="Times New Roman" w:cs="Times New Roman"/>
          <w:b/>
        </w:rPr>
        <w:t xml:space="preserve"> Continuum of Care (CoC) Program Competition NOF</w:t>
      </w:r>
      <w:r w:rsidR="004E7943">
        <w:rPr>
          <w:rFonts w:ascii="Times New Roman" w:hAnsi="Times New Roman" w:cs="Times New Roman"/>
          <w:b/>
        </w:rPr>
        <w:t>O</w:t>
      </w:r>
      <w:r w:rsidR="00E23314" w:rsidRPr="000779D5">
        <w:rPr>
          <w:rFonts w:ascii="Times New Roman" w:hAnsi="Times New Roman" w:cs="Times New Roman"/>
          <w:b/>
        </w:rPr>
        <w:t xml:space="preserve"> Overview</w:t>
      </w:r>
      <w:r w:rsidR="0042262B" w:rsidRPr="000779D5">
        <w:rPr>
          <w:rFonts w:ascii="Times New Roman" w:hAnsi="Times New Roman" w:cs="Times New Roman"/>
          <w:b/>
        </w:rPr>
        <w:t xml:space="preserve"> </w:t>
      </w:r>
      <w:r w:rsidR="000F0674" w:rsidRPr="000779D5">
        <w:rPr>
          <w:rFonts w:ascii="Times New Roman" w:hAnsi="Times New Roman" w:cs="Times New Roman"/>
          <w:b/>
        </w:rPr>
        <w:t>(</w:t>
      </w:r>
      <w:r w:rsidR="00385134">
        <w:rPr>
          <w:rFonts w:ascii="Times New Roman" w:hAnsi="Times New Roman" w:cs="Times New Roman"/>
          <w:b/>
        </w:rPr>
        <w:t>7/30</w:t>
      </w:r>
      <w:r w:rsidR="00EE1C51" w:rsidRPr="00EE1C51">
        <w:rPr>
          <w:rFonts w:ascii="Times New Roman" w:hAnsi="Times New Roman" w:cs="Times New Roman"/>
          <w:b/>
        </w:rPr>
        <w:t>/2022</w:t>
      </w:r>
      <w:r w:rsidR="0042262B" w:rsidRPr="000779D5">
        <w:rPr>
          <w:rFonts w:ascii="Times New Roman" w:hAnsi="Times New Roman" w:cs="Times New Roman"/>
          <w:b/>
        </w:rPr>
        <w:t>)</w:t>
      </w:r>
    </w:p>
    <w:p w14:paraId="7CECA73D" w14:textId="47FDE0AA" w:rsidR="00E23314" w:rsidRPr="0076511E" w:rsidRDefault="00E23314" w:rsidP="00E23314">
      <w:pPr>
        <w:rPr>
          <w:rFonts w:ascii="Times New Roman" w:hAnsi="Times New Roman" w:cs="Times New Roman"/>
          <w:color w:val="FF0000"/>
        </w:rPr>
      </w:pPr>
      <w:r w:rsidRPr="000779D5">
        <w:rPr>
          <w:rFonts w:ascii="Times New Roman" w:hAnsi="Times New Roman" w:cs="Times New Roman"/>
        </w:rPr>
        <w:t>Fun</w:t>
      </w:r>
      <w:r w:rsidR="003F0F4A" w:rsidRPr="000779D5">
        <w:rPr>
          <w:rFonts w:ascii="Times New Roman" w:hAnsi="Times New Roman" w:cs="Times New Roman"/>
        </w:rPr>
        <w:t xml:space="preserve">ding Opportunity Number: </w:t>
      </w:r>
      <w:r w:rsidR="003F0F4A" w:rsidRPr="000F5C65">
        <w:rPr>
          <w:rFonts w:ascii="Times New Roman" w:hAnsi="Times New Roman" w:cs="Times New Roman"/>
        </w:rPr>
        <w:t>FR-6</w:t>
      </w:r>
      <w:r w:rsidR="000F5C65" w:rsidRPr="000F5C65">
        <w:rPr>
          <w:rFonts w:ascii="Times New Roman" w:hAnsi="Times New Roman" w:cs="Times New Roman"/>
        </w:rPr>
        <w:t>6</w:t>
      </w:r>
      <w:r w:rsidR="00AD67FC" w:rsidRPr="000F5C65">
        <w:rPr>
          <w:rFonts w:ascii="Times New Roman" w:hAnsi="Times New Roman" w:cs="Times New Roman"/>
        </w:rPr>
        <w:t>00</w:t>
      </w:r>
      <w:r w:rsidRPr="000F5C65">
        <w:rPr>
          <w:rFonts w:ascii="Times New Roman" w:hAnsi="Times New Roman" w:cs="Times New Roman"/>
        </w:rPr>
        <w:t>-N-25</w:t>
      </w:r>
      <w:r w:rsidR="00DE2D05" w:rsidRPr="000F5C65">
        <w:rPr>
          <w:rFonts w:ascii="Times New Roman" w:hAnsi="Times New Roman" w:cs="Times New Roman"/>
        </w:rPr>
        <w:t xml:space="preserve"> </w:t>
      </w:r>
      <w:r w:rsidR="00DE2D05" w:rsidRPr="004E7943">
        <w:rPr>
          <w:rFonts w:ascii="Times New Roman" w:hAnsi="Times New Roman" w:cs="Times New Roman"/>
        </w:rPr>
        <w:t xml:space="preserve">- </w:t>
      </w:r>
      <w:r w:rsidRPr="004E7943">
        <w:rPr>
          <w:rFonts w:ascii="Times New Roman" w:hAnsi="Times New Roman" w:cs="Times New Roman"/>
        </w:rPr>
        <w:t xml:space="preserve">CFDA Number: </w:t>
      </w:r>
      <w:r w:rsidRPr="002832ED">
        <w:rPr>
          <w:rFonts w:ascii="Times New Roman" w:hAnsi="Times New Roman" w:cs="Times New Roman"/>
        </w:rPr>
        <w:t>14.267</w:t>
      </w:r>
    </w:p>
    <w:tbl>
      <w:tblPr>
        <w:tblStyle w:val="TableGrid"/>
        <w:tblW w:w="9805" w:type="dxa"/>
        <w:tblLook w:val="04A0" w:firstRow="1" w:lastRow="0" w:firstColumn="1" w:lastColumn="0" w:noHBand="0" w:noVBand="1"/>
      </w:tblPr>
      <w:tblGrid>
        <w:gridCol w:w="9805"/>
      </w:tblGrid>
      <w:tr w:rsidR="00E23314" w:rsidRPr="000779D5" w14:paraId="68E9D9DA" w14:textId="77777777" w:rsidTr="006C0E96">
        <w:tc>
          <w:tcPr>
            <w:tcW w:w="9805" w:type="dxa"/>
            <w:shd w:val="clear" w:color="auto" w:fill="D9D9D9" w:themeFill="background1" w:themeFillShade="D9"/>
          </w:tcPr>
          <w:p w14:paraId="1DD8D330" w14:textId="16D740C5" w:rsidR="00B25371" w:rsidRPr="000779D5" w:rsidRDefault="00E23314" w:rsidP="00E23314">
            <w:pPr>
              <w:rPr>
                <w:rFonts w:ascii="Times New Roman" w:hAnsi="Times New Roman" w:cs="Times New Roman"/>
              </w:rPr>
            </w:pPr>
            <w:r w:rsidRPr="000779D5">
              <w:rPr>
                <w:rFonts w:ascii="Times New Roman" w:hAnsi="Times New Roman" w:cs="Times New Roman"/>
              </w:rPr>
              <w:t xml:space="preserve">IMPORTANT </w:t>
            </w:r>
            <w:r w:rsidR="0002125E" w:rsidRPr="000779D5">
              <w:rPr>
                <w:rFonts w:ascii="Times New Roman" w:hAnsi="Times New Roman" w:cs="Times New Roman"/>
              </w:rPr>
              <w:t xml:space="preserve">APPLICATION DATES &amp; DEADLINES </w:t>
            </w:r>
            <w:r w:rsidR="0059446C">
              <w:rPr>
                <w:rFonts w:ascii="Times New Roman" w:hAnsi="Times New Roman" w:cs="Times New Roman"/>
              </w:rPr>
              <w:t>(</w:t>
            </w:r>
            <w:r w:rsidR="0059446C" w:rsidRPr="0059446C">
              <w:rPr>
                <w:rFonts w:ascii="Times New Roman" w:hAnsi="Times New Roman" w:cs="Times New Roman"/>
                <w:i/>
                <w:iCs/>
              </w:rPr>
              <w:t>tentative</w:t>
            </w:r>
            <w:r w:rsidR="0059446C">
              <w:rPr>
                <w:rFonts w:ascii="Times New Roman" w:hAnsi="Times New Roman" w:cs="Times New Roman"/>
              </w:rPr>
              <w:t xml:space="preserve">) </w:t>
            </w:r>
            <w:r w:rsidR="0002125E" w:rsidRPr="000779D5">
              <w:rPr>
                <w:rFonts w:ascii="Times New Roman" w:hAnsi="Times New Roman" w:cs="Times New Roman"/>
              </w:rPr>
              <w:t>for Hennepin County CoC</w:t>
            </w:r>
          </w:p>
          <w:p w14:paraId="222A8E03" w14:textId="77777777" w:rsidR="00802E52" w:rsidRPr="000779D5" w:rsidRDefault="00EA4682" w:rsidP="00E23314">
            <w:pPr>
              <w:rPr>
                <w:rFonts w:ascii="Times New Roman" w:hAnsi="Times New Roman" w:cs="Times New Roman"/>
              </w:rPr>
            </w:pPr>
            <w:r w:rsidRPr="000779D5">
              <w:rPr>
                <w:rFonts w:ascii="Times New Roman" w:hAnsi="Times New Roman" w:cs="Times New Roman"/>
              </w:rPr>
              <w:t xml:space="preserve">Hennepin County CoC website: </w:t>
            </w:r>
            <w:r w:rsidR="00B25371" w:rsidRPr="000779D5">
              <w:rPr>
                <w:rFonts w:ascii="Times New Roman" w:hAnsi="Times New Roman" w:cs="Times New Roman"/>
              </w:rPr>
              <w:t xml:space="preserve"> </w:t>
            </w:r>
            <w:r w:rsidR="00802E52" w:rsidRPr="000779D5">
              <w:rPr>
                <w:rFonts w:ascii="Times New Roman" w:hAnsi="Times New Roman" w:cs="Times New Roman"/>
                <w:color w:val="0000FF"/>
                <w:u w:val="single"/>
              </w:rPr>
              <w:t xml:space="preserve">https://www.hennepin.us/headinghomehennepin </w:t>
            </w:r>
          </w:p>
          <w:p w14:paraId="13256588" w14:textId="144C92DD" w:rsidR="00453FB8" w:rsidRPr="003956F4" w:rsidRDefault="005E1120" w:rsidP="003956F4">
            <w:pPr>
              <w:pStyle w:val="ListParagraph"/>
              <w:numPr>
                <w:ilvl w:val="0"/>
                <w:numId w:val="1"/>
              </w:numPr>
              <w:rPr>
                <w:rFonts w:ascii="Times New Roman" w:hAnsi="Times New Roman" w:cs="Times New Roman"/>
                <w:color w:val="1F497D"/>
              </w:rPr>
            </w:pPr>
            <w:r>
              <w:rPr>
                <w:rFonts w:ascii="Times New Roman" w:hAnsi="Times New Roman" w:cs="Times New Roman"/>
              </w:rPr>
              <w:t>May 24-June 6</w:t>
            </w:r>
            <w:r w:rsidRPr="005E1120">
              <w:rPr>
                <w:rFonts w:ascii="Times New Roman" w:hAnsi="Times New Roman" w:cs="Times New Roman"/>
                <w:vertAlign w:val="superscript"/>
              </w:rPr>
              <w:t>th</w:t>
            </w:r>
            <w:r>
              <w:rPr>
                <w:rFonts w:ascii="Times New Roman" w:hAnsi="Times New Roman" w:cs="Times New Roman"/>
              </w:rPr>
              <w:t xml:space="preserve"> </w:t>
            </w:r>
            <w:r w:rsidR="00453FB8" w:rsidRPr="00FF189B">
              <w:rPr>
                <w:rFonts w:ascii="Times New Roman" w:hAnsi="Times New Roman" w:cs="Times New Roman"/>
              </w:rPr>
              <w:t xml:space="preserve">– CoC project score card share, review, &amp; confirm score </w:t>
            </w:r>
          </w:p>
          <w:p w14:paraId="17D1BE8B" w14:textId="12F66FA2" w:rsidR="00F3410D" w:rsidRPr="000779D5" w:rsidRDefault="00E82A4D" w:rsidP="00357D41">
            <w:pPr>
              <w:pStyle w:val="ListParagraph"/>
              <w:numPr>
                <w:ilvl w:val="0"/>
                <w:numId w:val="1"/>
              </w:numPr>
              <w:rPr>
                <w:rFonts w:ascii="Times New Roman" w:hAnsi="Times New Roman" w:cs="Times New Roman"/>
                <w:color w:val="1F497D"/>
              </w:rPr>
            </w:pPr>
            <w:r w:rsidRPr="00E82A4D">
              <w:rPr>
                <w:rFonts w:ascii="Times New Roman" w:hAnsi="Times New Roman" w:cs="Times New Roman"/>
              </w:rPr>
              <w:t>June 6, 2022</w:t>
            </w:r>
            <w:r w:rsidR="00F3410D" w:rsidRPr="00E82A4D">
              <w:rPr>
                <w:rFonts w:ascii="Times New Roman" w:hAnsi="Times New Roman" w:cs="Times New Roman"/>
              </w:rPr>
              <w:t xml:space="preserve"> </w:t>
            </w:r>
            <w:r w:rsidR="00F3410D" w:rsidRPr="00FF189B">
              <w:rPr>
                <w:rFonts w:ascii="Times New Roman" w:hAnsi="Times New Roman" w:cs="Times New Roman"/>
              </w:rPr>
              <w:t>– Letter of Intent to Apply due for FY20</w:t>
            </w:r>
            <w:r w:rsidR="0076511E" w:rsidRPr="00FF189B">
              <w:rPr>
                <w:rFonts w:ascii="Times New Roman" w:hAnsi="Times New Roman" w:cs="Times New Roman"/>
              </w:rPr>
              <w:t>2</w:t>
            </w:r>
            <w:r w:rsidR="00F14B3C">
              <w:rPr>
                <w:rFonts w:ascii="Times New Roman" w:hAnsi="Times New Roman" w:cs="Times New Roman"/>
              </w:rPr>
              <w:t>2</w:t>
            </w:r>
            <w:r w:rsidR="00F3410D" w:rsidRPr="00FF189B">
              <w:rPr>
                <w:rFonts w:ascii="Times New Roman" w:hAnsi="Times New Roman" w:cs="Times New Roman"/>
              </w:rPr>
              <w:t xml:space="preserve"> NOF</w:t>
            </w:r>
            <w:r w:rsidR="00446F94">
              <w:rPr>
                <w:rFonts w:ascii="Times New Roman" w:hAnsi="Times New Roman" w:cs="Times New Roman"/>
              </w:rPr>
              <w:t>O</w:t>
            </w:r>
            <w:r>
              <w:rPr>
                <w:rFonts w:ascii="Times New Roman" w:hAnsi="Times New Roman" w:cs="Times New Roman"/>
              </w:rPr>
              <w:t xml:space="preserve"> due date</w:t>
            </w:r>
          </w:p>
          <w:p w14:paraId="6A315801" w14:textId="39064ED0" w:rsidR="0076511E" w:rsidRDefault="00026C72" w:rsidP="0076511E">
            <w:pPr>
              <w:pStyle w:val="ListParagraph"/>
              <w:numPr>
                <w:ilvl w:val="0"/>
                <w:numId w:val="1"/>
              </w:numPr>
              <w:rPr>
                <w:rFonts w:ascii="Times New Roman" w:hAnsi="Times New Roman" w:cs="Times New Roman"/>
              </w:rPr>
            </w:pPr>
            <w:r w:rsidRPr="00FB591B">
              <w:rPr>
                <w:rFonts w:ascii="Times New Roman" w:hAnsi="Times New Roman" w:cs="Times New Roman"/>
              </w:rPr>
              <w:t>July 7</w:t>
            </w:r>
            <w:r w:rsidR="004B4FC9" w:rsidRPr="00FB591B">
              <w:rPr>
                <w:rFonts w:ascii="Times New Roman" w:hAnsi="Times New Roman" w:cs="Times New Roman"/>
                <w:vertAlign w:val="superscript"/>
              </w:rPr>
              <w:t>th</w:t>
            </w:r>
            <w:r w:rsidR="004B4FC9" w:rsidRPr="00FB591B">
              <w:rPr>
                <w:rFonts w:ascii="Times New Roman" w:hAnsi="Times New Roman" w:cs="Times New Roman"/>
              </w:rPr>
              <w:t xml:space="preserve"> </w:t>
            </w:r>
            <w:r w:rsidR="0076511E" w:rsidRPr="00FB591B">
              <w:rPr>
                <w:rFonts w:ascii="Times New Roman" w:hAnsi="Times New Roman" w:cs="Times New Roman"/>
              </w:rPr>
              <w:t>– New project pre-application</w:t>
            </w:r>
            <w:r w:rsidR="0005144C" w:rsidRPr="00FB591B">
              <w:rPr>
                <w:rFonts w:ascii="Times New Roman" w:hAnsi="Times New Roman" w:cs="Times New Roman"/>
              </w:rPr>
              <w:t>s</w:t>
            </w:r>
            <w:r w:rsidR="00EE1C51" w:rsidRPr="00FB591B">
              <w:rPr>
                <w:rFonts w:ascii="Times New Roman" w:hAnsi="Times New Roman" w:cs="Times New Roman"/>
              </w:rPr>
              <w:t>/DV Bonus</w:t>
            </w:r>
            <w:r w:rsidR="0005144C" w:rsidRPr="00FB591B">
              <w:rPr>
                <w:rFonts w:ascii="Times New Roman" w:hAnsi="Times New Roman" w:cs="Times New Roman"/>
              </w:rPr>
              <w:t xml:space="preserve"> due</w:t>
            </w:r>
            <w:r w:rsidR="0077046F" w:rsidRPr="00FB591B">
              <w:rPr>
                <w:rFonts w:ascii="Times New Roman" w:hAnsi="Times New Roman" w:cs="Times New Roman"/>
              </w:rPr>
              <w:t xml:space="preserve"> </w:t>
            </w:r>
            <w:r w:rsidR="00E82A4D">
              <w:rPr>
                <w:rFonts w:ascii="Times New Roman" w:hAnsi="Times New Roman" w:cs="Times New Roman"/>
              </w:rPr>
              <w:t>date</w:t>
            </w:r>
          </w:p>
          <w:p w14:paraId="420A5FD3" w14:textId="0E710295" w:rsidR="003956F4" w:rsidRPr="00FB591B" w:rsidRDefault="003956F4" w:rsidP="0076511E">
            <w:pPr>
              <w:pStyle w:val="ListParagraph"/>
              <w:numPr>
                <w:ilvl w:val="0"/>
                <w:numId w:val="1"/>
              </w:numPr>
              <w:rPr>
                <w:rFonts w:ascii="Times New Roman" w:hAnsi="Times New Roman" w:cs="Times New Roman"/>
              </w:rPr>
            </w:pPr>
            <w:r w:rsidRPr="003956F4">
              <w:rPr>
                <w:rFonts w:ascii="Times New Roman" w:hAnsi="Times New Roman" w:cs="Times New Roman"/>
              </w:rPr>
              <w:t>July 8</w:t>
            </w:r>
            <w:r w:rsidRPr="003956F4">
              <w:rPr>
                <w:rFonts w:ascii="Times New Roman" w:hAnsi="Times New Roman" w:cs="Times New Roman"/>
                <w:vertAlign w:val="superscript"/>
              </w:rPr>
              <w:t>th</w:t>
            </w:r>
            <w:r w:rsidRPr="003956F4">
              <w:rPr>
                <w:rFonts w:ascii="Times New Roman" w:hAnsi="Times New Roman" w:cs="Times New Roman"/>
              </w:rPr>
              <w:t xml:space="preserve"> – Final approval &amp; comments on score card</w:t>
            </w:r>
            <w:r>
              <w:rPr>
                <w:rFonts w:ascii="Times New Roman" w:hAnsi="Times New Roman" w:cs="Times New Roman"/>
              </w:rPr>
              <w:t xml:space="preserve"> in preparation for ranking</w:t>
            </w:r>
          </w:p>
          <w:p w14:paraId="0C9D1C5F" w14:textId="2A362089" w:rsidR="001C1126" w:rsidRPr="007B6F04" w:rsidRDefault="007E35C5" w:rsidP="00D2072C">
            <w:pPr>
              <w:pStyle w:val="ListParagraph"/>
              <w:numPr>
                <w:ilvl w:val="0"/>
                <w:numId w:val="1"/>
              </w:numPr>
              <w:rPr>
                <w:rFonts w:ascii="Segoe UI" w:hAnsi="Segoe UI" w:cs="Segoe UI"/>
                <w:b/>
                <w:bCs/>
                <w:color w:val="252424"/>
              </w:rPr>
            </w:pPr>
            <w:r w:rsidRPr="00DD628A">
              <w:rPr>
                <w:rFonts w:ascii="Times New Roman" w:hAnsi="Times New Roman" w:cs="Times New Roman"/>
                <w:b/>
                <w:bCs/>
              </w:rPr>
              <w:t>August 9</w:t>
            </w:r>
            <w:r w:rsidR="004B4FC9" w:rsidRPr="00DD628A">
              <w:rPr>
                <w:rFonts w:ascii="Times New Roman" w:hAnsi="Times New Roman" w:cs="Times New Roman"/>
                <w:b/>
                <w:bCs/>
                <w:vertAlign w:val="superscript"/>
              </w:rPr>
              <w:t>th</w:t>
            </w:r>
            <w:r w:rsidR="004B4FC9" w:rsidRPr="00DD628A">
              <w:rPr>
                <w:rFonts w:ascii="Times New Roman" w:hAnsi="Times New Roman" w:cs="Times New Roman"/>
                <w:b/>
                <w:bCs/>
              </w:rPr>
              <w:t xml:space="preserve"> </w:t>
            </w:r>
            <w:r w:rsidR="0076511E" w:rsidRPr="00DD628A">
              <w:rPr>
                <w:rFonts w:ascii="Times New Roman" w:hAnsi="Times New Roman" w:cs="Times New Roman"/>
              </w:rPr>
              <w:t xml:space="preserve"> </w:t>
            </w:r>
            <w:r w:rsidR="00A876E7" w:rsidRPr="00DD628A">
              <w:rPr>
                <w:rFonts w:ascii="Times New Roman" w:hAnsi="Times New Roman" w:cs="Times New Roman"/>
              </w:rPr>
              <w:t xml:space="preserve">– </w:t>
            </w:r>
            <w:r w:rsidR="00A876E7" w:rsidRPr="00DD628A">
              <w:rPr>
                <w:rFonts w:ascii="Times New Roman" w:hAnsi="Times New Roman" w:cs="Times New Roman"/>
                <w:b/>
                <w:bCs/>
              </w:rPr>
              <w:t>FY20</w:t>
            </w:r>
            <w:r w:rsidR="0076511E" w:rsidRPr="00DD628A">
              <w:rPr>
                <w:rFonts w:ascii="Times New Roman" w:hAnsi="Times New Roman" w:cs="Times New Roman"/>
                <w:b/>
                <w:bCs/>
              </w:rPr>
              <w:t>2</w:t>
            </w:r>
            <w:r w:rsidR="00026C72" w:rsidRPr="00DD628A">
              <w:rPr>
                <w:rFonts w:ascii="Times New Roman" w:hAnsi="Times New Roman" w:cs="Times New Roman"/>
                <w:b/>
                <w:bCs/>
              </w:rPr>
              <w:t xml:space="preserve">2 </w:t>
            </w:r>
            <w:r w:rsidR="00A876E7" w:rsidRPr="00DD628A">
              <w:rPr>
                <w:rFonts w:ascii="Times New Roman" w:hAnsi="Times New Roman" w:cs="Times New Roman"/>
                <w:b/>
                <w:bCs/>
              </w:rPr>
              <w:t>NOF</w:t>
            </w:r>
            <w:r w:rsidR="00446F94" w:rsidRPr="00DD628A">
              <w:rPr>
                <w:rFonts w:ascii="Times New Roman" w:hAnsi="Times New Roman" w:cs="Times New Roman"/>
                <w:b/>
                <w:bCs/>
              </w:rPr>
              <w:t>O</w:t>
            </w:r>
            <w:r w:rsidR="00A876E7" w:rsidRPr="00DD628A">
              <w:rPr>
                <w:rFonts w:ascii="Times New Roman" w:hAnsi="Times New Roman" w:cs="Times New Roman"/>
                <w:b/>
                <w:bCs/>
              </w:rPr>
              <w:t xml:space="preserve"> Overview meeting</w:t>
            </w:r>
            <w:r w:rsidR="00834510" w:rsidRPr="00DD628A">
              <w:rPr>
                <w:rFonts w:ascii="Times New Roman" w:hAnsi="Times New Roman" w:cs="Times New Roman"/>
                <w:b/>
                <w:bCs/>
              </w:rPr>
              <w:t xml:space="preserve"> 3:00-4</w:t>
            </w:r>
            <w:r w:rsidR="0076511E" w:rsidRPr="00DD628A">
              <w:rPr>
                <w:rFonts w:ascii="Times New Roman" w:hAnsi="Times New Roman" w:cs="Times New Roman"/>
              </w:rPr>
              <w:t xml:space="preserve"> Teams </w:t>
            </w:r>
            <w:r w:rsidR="00120D62" w:rsidRPr="00DD628A">
              <w:rPr>
                <w:rFonts w:ascii="Times New Roman" w:hAnsi="Times New Roman" w:cs="Times New Roman"/>
              </w:rPr>
              <w:t>(</w:t>
            </w:r>
            <w:hyperlink r:id="rId7" w:tgtFrame="_blank" w:history="1">
              <w:r w:rsidR="00DD628A" w:rsidRPr="00DD628A">
                <w:rPr>
                  <w:rStyle w:val="Hyperlink"/>
                  <w:rFonts w:ascii="Segoe UI Semibold" w:hAnsi="Segoe UI Semibold" w:cs="Segoe UI Semibold"/>
                  <w:color w:val="6264A7"/>
                  <w:sz w:val="21"/>
                  <w:szCs w:val="21"/>
                </w:rPr>
                <w:t>Click here to join the meeting</w:t>
              </w:r>
            </w:hyperlink>
            <w:r w:rsidR="00120D62" w:rsidRPr="00DD628A">
              <w:rPr>
                <w:rFonts w:ascii="Times New Roman" w:hAnsi="Times New Roman" w:cs="Times New Roman"/>
              </w:rPr>
              <w:t>)</w:t>
            </w:r>
          </w:p>
          <w:p w14:paraId="19F52FDA" w14:textId="6426C84C" w:rsidR="00FB591B" w:rsidRPr="009D2856" w:rsidRDefault="00100F4B" w:rsidP="009D2856">
            <w:pPr>
              <w:pStyle w:val="ListParagraph"/>
              <w:numPr>
                <w:ilvl w:val="0"/>
                <w:numId w:val="1"/>
              </w:numPr>
              <w:rPr>
                <w:rFonts w:ascii="Times New Roman" w:hAnsi="Times New Roman" w:cs="Times New Roman"/>
              </w:rPr>
            </w:pPr>
            <w:r w:rsidRPr="003C377C">
              <w:rPr>
                <w:rFonts w:ascii="Times New Roman" w:hAnsi="Times New Roman" w:cs="Times New Roman"/>
                <w:b/>
                <w:bCs/>
              </w:rPr>
              <w:t>August 15</w:t>
            </w:r>
            <w:r w:rsidRPr="003C377C">
              <w:rPr>
                <w:rFonts w:ascii="Times New Roman" w:hAnsi="Times New Roman" w:cs="Times New Roman"/>
                <w:b/>
                <w:bCs/>
                <w:vertAlign w:val="superscript"/>
              </w:rPr>
              <w:t>th</w:t>
            </w:r>
            <w:r>
              <w:rPr>
                <w:rFonts w:ascii="Times New Roman" w:hAnsi="Times New Roman" w:cs="Times New Roman"/>
                <w:b/>
                <w:bCs/>
              </w:rPr>
              <w:t xml:space="preserve"> – </w:t>
            </w:r>
            <w:r w:rsidR="00FB591B" w:rsidRPr="009D2856">
              <w:rPr>
                <w:rFonts w:ascii="Times New Roman" w:hAnsi="Times New Roman" w:cs="Times New Roman"/>
              </w:rPr>
              <w:t xml:space="preserve">Project Applications </w:t>
            </w:r>
            <w:r w:rsidR="009A5CE2">
              <w:rPr>
                <w:rFonts w:ascii="Times New Roman" w:hAnsi="Times New Roman" w:cs="Times New Roman"/>
              </w:rPr>
              <w:t xml:space="preserve">(new/renewal) </w:t>
            </w:r>
            <w:r w:rsidR="00FB591B" w:rsidRPr="009D2856">
              <w:rPr>
                <w:rFonts w:ascii="Times New Roman" w:hAnsi="Times New Roman" w:cs="Times New Roman"/>
              </w:rPr>
              <w:t>notified of inclusion</w:t>
            </w:r>
            <w:r w:rsidR="00155675">
              <w:rPr>
                <w:rFonts w:ascii="Times New Roman" w:hAnsi="Times New Roman" w:cs="Times New Roman"/>
              </w:rPr>
              <w:t>/rejection</w:t>
            </w:r>
            <w:r w:rsidR="00FB591B" w:rsidRPr="009D2856">
              <w:rPr>
                <w:rFonts w:ascii="Times New Roman" w:hAnsi="Times New Roman" w:cs="Times New Roman"/>
              </w:rPr>
              <w:t xml:space="preserve"> in </w:t>
            </w:r>
            <w:r w:rsidR="00155675">
              <w:rPr>
                <w:rFonts w:ascii="Times New Roman" w:hAnsi="Times New Roman" w:cs="Times New Roman"/>
              </w:rPr>
              <w:t>Hennepin NOFO competition</w:t>
            </w:r>
            <w:r w:rsidR="006E2296" w:rsidRPr="009D2856">
              <w:rPr>
                <w:rFonts w:ascii="Times New Roman" w:hAnsi="Times New Roman" w:cs="Times New Roman"/>
              </w:rPr>
              <w:t xml:space="preserve"> – </w:t>
            </w:r>
            <w:r w:rsidR="00EF799D">
              <w:rPr>
                <w:rFonts w:ascii="Times New Roman" w:hAnsi="Times New Roman" w:cs="Times New Roman"/>
              </w:rPr>
              <w:t xml:space="preserve">preliminary </w:t>
            </w:r>
            <w:r w:rsidR="00CF7BF1">
              <w:rPr>
                <w:rFonts w:ascii="Times New Roman" w:hAnsi="Times New Roman" w:cs="Times New Roman"/>
              </w:rPr>
              <w:t>P</w:t>
            </w:r>
            <w:r w:rsidR="006E2296" w:rsidRPr="009D2856">
              <w:rPr>
                <w:rFonts w:ascii="Times New Roman" w:hAnsi="Times New Roman" w:cs="Times New Roman"/>
              </w:rPr>
              <w:t xml:space="preserve">riority </w:t>
            </w:r>
            <w:r w:rsidR="00CF7BF1">
              <w:rPr>
                <w:rFonts w:ascii="Times New Roman" w:hAnsi="Times New Roman" w:cs="Times New Roman"/>
              </w:rPr>
              <w:t>L</w:t>
            </w:r>
            <w:r w:rsidR="006E2296" w:rsidRPr="009D2856">
              <w:rPr>
                <w:rFonts w:ascii="Times New Roman" w:hAnsi="Times New Roman" w:cs="Times New Roman"/>
              </w:rPr>
              <w:t>ist released (ranked projects)</w:t>
            </w:r>
            <w:r w:rsidR="001802C9">
              <w:rPr>
                <w:rFonts w:ascii="Times New Roman" w:hAnsi="Times New Roman" w:cs="Times New Roman"/>
              </w:rPr>
              <w:t xml:space="preserve"> – START COMPLETING THE PROJECT APPLICATION IN E-SNAPS</w:t>
            </w:r>
            <w:r w:rsidR="003C377C">
              <w:rPr>
                <w:rFonts w:ascii="Times New Roman" w:hAnsi="Times New Roman" w:cs="Times New Roman"/>
              </w:rPr>
              <w:t xml:space="preserve"> (New and Renewals)</w:t>
            </w:r>
          </w:p>
          <w:p w14:paraId="27AFAD69" w14:textId="77777777" w:rsidR="007923FA" w:rsidRPr="007923FA" w:rsidRDefault="009D2856" w:rsidP="00FB591B">
            <w:pPr>
              <w:pStyle w:val="ListParagraph"/>
              <w:numPr>
                <w:ilvl w:val="0"/>
                <w:numId w:val="1"/>
              </w:numPr>
              <w:rPr>
                <w:rFonts w:ascii="Times New Roman" w:hAnsi="Times New Roman" w:cs="Times New Roman"/>
              </w:rPr>
            </w:pPr>
            <w:r w:rsidRPr="00953098">
              <w:rPr>
                <w:rFonts w:ascii="Times New Roman" w:hAnsi="Times New Roman" w:cs="Times New Roman"/>
                <w:bCs/>
              </w:rPr>
              <w:t xml:space="preserve">August </w:t>
            </w:r>
            <w:r w:rsidR="00953098" w:rsidRPr="00953098">
              <w:rPr>
                <w:rFonts w:ascii="Times New Roman" w:hAnsi="Times New Roman" w:cs="Times New Roman"/>
                <w:bCs/>
              </w:rPr>
              <w:t>19</w:t>
            </w:r>
            <w:r w:rsidR="00953098" w:rsidRPr="00953098">
              <w:rPr>
                <w:rFonts w:ascii="Times New Roman" w:hAnsi="Times New Roman" w:cs="Times New Roman"/>
                <w:bCs/>
                <w:vertAlign w:val="superscript"/>
              </w:rPr>
              <w:t>th</w:t>
            </w:r>
            <w:r w:rsidR="00953098">
              <w:rPr>
                <w:rFonts w:ascii="Times New Roman" w:hAnsi="Times New Roman" w:cs="Times New Roman"/>
                <w:b/>
              </w:rPr>
              <w:t xml:space="preserve"> </w:t>
            </w:r>
            <w:r w:rsidR="00373B25" w:rsidRPr="000779D5">
              <w:rPr>
                <w:rFonts w:ascii="Times New Roman" w:hAnsi="Times New Roman" w:cs="Times New Roman"/>
              </w:rPr>
              <w:t xml:space="preserve">Any ranking appeals to CoC Coordinator </w:t>
            </w:r>
            <w:r w:rsidR="009B6146">
              <w:rPr>
                <w:rFonts w:ascii="Times New Roman" w:hAnsi="Times New Roman" w:cs="Times New Roman"/>
              </w:rPr>
              <w:t>(see 2022 Ranking Policies/Procedures posted on CoC website for instructions</w:t>
            </w:r>
            <w:r w:rsidR="00C6582C">
              <w:rPr>
                <w:rFonts w:ascii="Times New Roman" w:hAnsi="Times New Roman" w:cs="Times New Roman"/>
              </w:rPr>
              <w:t xml:space="preserve"> </w:t>
            </w:r>
            <w:r w:rsidR="00D85745">
              <w:rPr>
                <w:rFonts w:ascii="Times New Roman" w:hAnsi="Times New Roman" w:cs="Times New Roman"/>
              </w:rPr>
              <w:t>p.8</w:t>
            </w:r>
            <w:r w:rsidR="00F0078F">
              <w:t>)</w:t>
            </w:r>
          </w:p>
          <w:p w14:paraId="025A47B3" w14:textId="608EB1AA" w:rsidR="00AA4CEF" w:rsidRPr="004E1FCA" w:rsidRDefault="007923FA" w:rsidP="00FB591B">
            <w:pPr>
              <w:pStyle w:val="ListParagraph"/>
              <w:numPr>
                <w:ilvl w:val="0"/>
                <w:numId w:val="1"/>
              </w:numPr>
              <w:rPr>
                <w:rFonts w:ascii="Times New Roman" w:hAnsi="Times New Roman" w:cs="Times New Roman"/>
                <w:b/>
                <w:bCs/>
              </w:rPr>
            </w:pPr>
            <w:r w:rsidRPr="004E1FCA">
              <w:rPr>
                <w:rFonts w:ascii="Times New Roman" w:hAnsi="Times New Roman" w:cs="Times New Roman"/>
                <w:b/>
                <w:bCs/>
              </w:rPr>
              <w:t>August 26</w:t>
            </w:r>
            <w:r w:rsidRPr="004E1FCA">
              <w:rPr>
                <w:rFonts w:ascii="Times New Roman" w:hAnsi="Times New Roman" w:cs="Times New Roman"/>
                <w:b/>
                <w:bCs/>
                <w:vertAlign w:val="superscript"/>
              </w:rPr>
              <w:t>th</w:t>
            </w:r>
            <w:r w:rsidRPr="004E1FCA">
              <w:rPr>
                <w:b/>
                <w:bCs/>
              </w:rPr>
              <w:t xml:space="preserve"> – </w:t>
            </w:r>
            <w:r w:rsidRPr="004E1FCA">
              <w:rPr>
                <w:rFonts w:ascii="Times New Roman" w:hAnsi="Times New Roman" w:cs="Times New Roman"/>
                <w:b/>
                <w:bCs/>
              </w:rPr>
              <w:t>Send draft Project Applications to CoC Coordinator for review prior to submission</w:t>
            </w:r>
            <w:r w:rsidR="00637A31">
              <w:rPr>
                <w:rFonts w:ascii="Times New Roman" w:hAnsi="Times New Roman" w:cs="Times New Roman"/>
                <w:b/>
                <w:bCs/>
              </w:rPr>
              <w:t xml:space="preserve"> (do not submit in e-snaps yet)</w:t>
            </w:r>
            <w:r w:rsidR="004609B3">
              <w:rPr>
                <w:rFonts w:ascii="Times New Roman" w:hAnsi="Times New Roman" w:cs="Times New Roman"/>
                <w:b/>
                <w:bCs/>
              </w:rPr>
              <w:t xml:space="preserve"> will send feedback </w:t>
            </w:r>
            <w:r w:rsidR="007609FA">
              <w:rPr>
                <w:rFonts w:ascii="Times New Roman" w:hAnsi="Times New Roman" w:cs="Times New Roman"/>
                <w:b/>
                <w:bCs/>
              </w:rPr>
              <w:t>if applicable</w:t>
            </w:r>
            <w:r w:rsidR="00373B25" w:rsidRPr="004E1FCA">
              <w:rPr>
                <w:rFonts w:ascii="Times New Roman" w:hAnsi="Times New Roman" w:cs="Times New Roman"/>
                <w:b/>
                <w:bCs/>
              </w:rPr>
              <w:t xml:space="preserve"> </w:t>
            </w:r>
          </w:p>
          <w:p w14:paraId="205EFDCC" w14:textId="303AADDB" w:rsidR="0041515D" w:rsidRDefault="0041515D" w:rsidP="00FB591B">
            <w:pPr>
              <w:pStyle w:val="ListParagraph"/>
              <w:numPr>
                <w:ilvl w:val="0"/>
                <w:numId w:val="1"/>
              </w:numPr>
              <w:rPr>
                <w:rFonts w:ascii="Times New Roman" w:hAnsi="Times New Roman" w:cs="Times New Roman"/>
              </w:rPr>
            </w:pPr>
            <w:r>
              <w:rPr>
                <w:rFonts w:ascii="Times New Roman" w:hAnsi="Times New Roman" w:cs="Times New Roman"/>
              </w:rPr>
              <w:t>August 29</w:t>
            </w:r>
            <w:r w:rsidRPr="0041515D">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w:t>
            </w:r>
            <w:r w:rsidR="001B755D">
              <w:rPr>
                <w:rFonts w:ascii="Times New Roman" w:hAnsi="Times New Roman" w:cs="Times New Roman"/>
              </w:rPr>
              <w:t xml:space="preserve">Final </w:t>
            </w:r>
            <w:r w:rsidR="002541E9">
              <w:rPr>
                <w:rFonts w:ascii="Times New Roman" w:hAnsi="Times New Roman" w:cs="Times New Roman"/>
              </w:rPr>
              <w:t xml:space="preserve">FY2022 Priority List posted </w:t>
            </w:r>
          </w:p>
          <w:p w14:paraId="4884288D" w14:textId="2AF86464" w:rsidR="00D15E28" w:rsidRPr="00953098" w:rsidRDefault="00D15E28" w:rsidP="00953098">
            <w:pPr>
              <w:pStyle w:val="ListParagraph"/>
              <w:numPr>
                <w:ilvl w:val="0"/>
                <w:numId w:val="1"/>
              </w:numPr>
              <w:rPr>
                <w:rFonts w:ascii="Times New Roman" w:hAnsi="Times New Roman" w:cs="Times New Roman"/>
              </w:rPr>
            </w:pPr>
            <w:r w:rsidRPr="004A5ED8">
              <w:rPr>
                <w:rFonts w:ascii="Times New Roman" w:hAnsi="Times New Roman" w:cs="Times New Roman"/>
                <w:b/>
                <w:bCs/>
              </w:rPr>
              <w:t>August 31</w:t>
            </w:r>
            <w:r w:rsidRPr="004A5ED8">
              <w:rPr>
                <w:rFonts w:ascii="Times New Roman" w:hAnsi="Times New Roman" w:cs="Times New Roman"/>
                <w:b/>
                <w:bCs/>
                <w:vertAlign w:val="superscript"/>
              </w:rPr>
              <w:t>st</w:t>
            </w:r>
            <w:r>
              <w:rPr>
                <w:rFonts w:ascii="Times New Roman" w:hAnsi="Times New Roman" w:cs="Times New Roman"/>
              </w:rPr>
              <w:t xml:space="preserve"> </w:t>
            </w:r>
            <w:r w:rsidR="0041515D">
              <w:rPr>
                <w:rFonts w:ascii="Times New Roman" w:hAnsi="Times New Roman" w:cs="Times New Roman"/>
              </w:rPr>
              <w:t xml:space="preserve">- </w:t>
            </w:r>
            <w:r w:rsidRPr="000779D5">
              <w:rPr>
                <w:rFonts w:ascii="Times New Roman" w:hAnsi="Times New Roman" w:cs="Times New Roman"/>
              </w:rPr>
              <w:t xml:space="preserve">DUE All </w:t>
            </w:r>
            <w:r w:rsidRPr="000779D5">
              <w:rPr>
                <w:rFonts w:ascii="Times New Roman" w:hAnsi="Times New Roman" w:cs="Times New Roman"/>
                <w:b/>
              </w:rPr>
              <w:t xml:space="preserve">Project Applications </w:t>
            </w:r>
            <w:r w:rsidRPr="000779D5">
              <w:rPr>
                <w:rFonts w:ascii="Times New Roman" w:hAnsi="Times New Roman" w:cs="Times New Roman"/>
              </w:rPr>
              <w:t>(</w:t>
            </w:r>
            <w:r w:rsidRPr="00A04C89">
              <w:rPr>
                <w:rFonts w:ascii="Times New Roman" w:hAnsi="Times New Roman" w:cs="Times New Roman"/>
                <w:b/>
                <w:bCs/>
              </w:rPr>
              <w:t>New and Renewal</w:t>
            </w:r>
            <w:r w:rsidRPr="000779D5">
              <w:rPr>
                <w:rFonts w:ascii="Times New Roman" w:hAnsi="Times New Roman" w:cs="Times New Roman"/>
              </w:rPr>
              <w:t>)</w:t>
            </w:r>
            <w:r w:rsidRPr="000779D5">
              <w:rPr>
                <w:rFonts w:ascii="Times New Roman" w:hAnsi="Times New Roman" w:cs="Times New Roman"/>
                <w:b/>
              </w:rPr>
              <w:t xml:space="preserve"> </w:t>
            </w:r>
            <w:r w:rsidRPr="00FD0F4F">
              <w:rPr>
                <w:rFonts w:ascii="Times New Roman" w:hAnsi="Times New Roman" w:cs="Times New Roman"/>
                <w:b/>
                <w:u w:val="single"/>
              </w:rPr>
              <w:t>SUBMIT IN E-SNAPS</w:t>
            </w:r>
          </w:p>
          <w:p w14:paraId="1DBF3E39" w14:textId="4451D0AE" w:rsidR="00E23314" w:rsidRPr="00AA4CEF" w:rsidRDefault="00AA4CEF" w:rsidP="00AA4CEF">
            <w:pPr>
              <w:pStyle w:val="ListParagraph"/>
              <w:numPr>
                <w:ilvl w:val="0"/>
                <w:numId w:val="1"/>
              </w:numPr>
              <w:rPr>
                <w:rFonts w:ascii="Times New Roman" w:hAnsi="Times New Roman" w:cs="Times New Roman"/>
              </w:rPr>
            </w:pPr>
            <w:r w:rsidRPr="00FB591B">
              <w:rPr>
                <w:rFonts w:ascii="Times New Roman" w:hAnsi="Times New Roman" w:cs="Times New Roman"/>
                <w:bCs/>
              </w:rPr>
              <w:t>Sept 26</w:t>
            </w:r>
            <w:r w:rsidRPr="00FB591B">
              <w:rPr>
                <w:rFonts w:ascii="Times New Roman" w:hAnsi="Times New Roman" w:cs="Times New Roman"/>
                <w:bCs/>
                <w:vertAlign w:val="superscript"/>
              </w:rPr>
              <w:t>th</w:t>
            </w:r>
            <w:r w:rsidRPr="00FB591B">
              <w:rPr>
                <w:rFonts w:ascii="Times New Roman" w:hAnsi="Times New Roman" w:cs="Times New Roman"/>
                <w:bCs/>
                <w:color w:val="FF0000"/>
              </w:rPr>
              <w:t xml:space="preserve"> </w:t>
            </w:r>
            <w:r w:rsidRPr="00FB591B">
              <w:rPr>
                <w:rFonts w:ascii="Times New Roman" w:hAnsi="Times New Roman" w:cs="Times New Roman"/>
                <w:bCs/>
              </w:rPr>
              <w:t>–FY2022 Priority List</w:t>
            </w:r>
            <w:r w:rsidR="001B755D">
              <w:rPr>
                <w:rFonts w:ascii="Times New Roman" w:hAnsi="Times New Roman" w:cs="Times New Roman"/>
                <w:bCs/>
              </w:rPr>
              <w:t xml:space="preserve"> and Collaborative Application</w:t>
            </w:r>
            <w:r w:rsidRPr="000779D5">
              <w:rPr>
                <w:rFonts w:ascii="Times New Roman" w:hAnsi="Times New Roman" w:cs="Times New Roman"/>
                <w:b/>
              </w:rPr>
              <w:t xml:space="preserve"> </w:t>
            </w:r>
            <w:r w:rsidRPr="000779D5">
              <w:rPr>
                <w:rFonts w:ascii="Times New Roman" w:hAnsi="Times New Roman" w:cs="Times New Roman"/>
              </w:rPr>
              <w:t>post</w:t>
            </w:r>
            <w:r w:rsidR="00BB58DD">
              <w:rPr>
                <w:rFonts w:ascii="Times New Roman" w:hAnsi="Times New Roman" w:cs="Times New Roman"/>
              </w:rPr>
              <w:t>ed</w:t>
            </w:r>
            <w:r w:rsidRPr="000779D5">
              <w:rPr>
                <w:rFonts w:ascii="Times New Roman" w:hAnsi="Times New Roman" w:cs="Times New Roman"/>
              </w:rPr>
              <w:t xml:space="preserve"> </w:t>
            </w:r>
            <w:hyperlink r:id="rId8" w:history="1"/>
          </w:p>
          <w:p w14:paraId="165C1DD6" w14:textId="77777777" w:rsidR="00E23314" w:rsidRDefault="004B4FC9" w:rsidP="00487289">
            <w:pPr>
              <w:pStyle w:val="ListParagraph"/>
              <w:numPr>
                <w:ilvl w:val="0"/>
                <w:numId w:val="1"/>
              </w:numPr>
              <w:rPr>
                <w:rFonts w:ascii="Times New Roman" w:hAnsi="Times New Roman" w:cs="Times New Roman"/>
                <w:b/>
                <w:bCs/>
              </w:rPr>
            </w:pPr>
            <w:r w:rsidRPr="00FB591B">
              <w:rPr>
                <w:rFonts w:ascii="Times New Roman" w:hAnsi="Times New Roman" w:cs="Times New Roman"/>
                <w:b/>
                <w:bCs/>
              </w:rPr>
              <w:t>September 30</w:t>
            </w:r>
            <w:r w:rsidRPr="00FB591B">
              <w:rPr>
                <w:rFonts w:ascii="Times New Roman" w:hAnsi="Times New Roman" w:cs="Times New Roman"/>
                <w:b/>
                <w:bCs/>
                <w:vertAlign w:val="superscript"/>
              </w:rPr>
              <w:t>th</w:t>
            </w:r>
            <w:r w:rsidRPr="00FB591B">
              <w:rPr>
                <w:rFonts w:ascii="Times New Roman" w:hAnsi="Times New Roman" w:cs="Times New Roman"/>
                <w:b/>
                <w:bCs/>
              </w:rPr>
              <w:t xml:space="preserve"> </w:t>
            </w:r>
            <w:r w:rsidR="00F777D8" w:rsidRPr="00FB591B">
              <w:rPr>
                <w:rFonts w:ascii="Times New Roman" w:hAnsi="Times New Roman" w:cs="Times New Roman"/>
                <w:b/>
                <w:bCs/>
              </w:rPr>
              <w:t xml:space="preserve"> </w:t>
            </w:r>
            <w:r w:rsidR="00E23314" w:rsidRPr="00FB591B">
              <w:rPr>
                <w:rFonts w:ascii="Times New Roman" w:hAnsi="Times New Roman" w:cs="Times New Roman"/>
                <w:b/>
                <w:bCs/>
              </w:rPr>
              <w:t xml:space="preserve"> </w:t>
            </w:r>
            <w:r w:rsidR="00487289" w:rsidRPr="00FB591B">
              <w:rPr>
                <w:rFonts w:ascii="Times New Roman" w:hAnsi="Times New Roman" w:cs="Times New Roman"/>
                <w:b/>
                <w:bCs/>
              </w:rPr>
              <w:t>Collaborative Application &amp; Priority List deadline</w:t>
            </w:r>
            <w:r w:rsidR="002B635E" w:rsidRPr="00FB591B">
              <w:rPr>
                <w:rFonts w:ascii="Times New Roman" w:hAnsi="Times New Roman" w:cs="Times New Roman"/>
                <w:b/>
                <w:bCs/>
              </w:rPr>
              <w:t xml:space="preserve"> to HUD</w:t>
            </w:r>
          </w:p>
          <w:p w14:paraId="4CC2D172" w14:textId="567B0C43" w:rsidR="00DD628A" w:rsidRPr="00DD628A" w:rsidRDefault="00DD628A" w:rsidP="00DD628A">
            <w:pPr>
              <w:rPr>
                <w:rFonts w:ascii="Times New Roman" w:hAnsi="Times New Roman" w:cs="Times New Roman"/>
              </w:rPr>
            </w:pPr>
            <w:r w:rsidRPr="00DD628A">
              <w:rPr>
                <w:rFonts w:ascii="Times New Roman" w:hAnsi="Times New Roman" w:cs="Times New Roman"/>
              </w:rPr>
              <w:t xml:space="preserve">Project Applicants requiring assistance with </w:t>
            </w:r>
            <w:r w:rsidR="00B523AB">
              <w:rPr>
                <w:rFonts w:ascii="Times New Roman" w:hAnsi="Times New Roman" w:cs="Times New Roman"/>
              </w:rPr>
              <w:t xml:space="preserve">any aspect of the project </w:t>
            </w:r>
            <w:r w:rsidRPr="00DD628A">
              <w:rPr>
                <w:rFonts w:ascii="Times New Roman" w:hAnsi="Times New Roman" w:cs="Times New Roman"/>
              </w:rPr>
              <w:t>application can contact CoC coordinator to set up 1:1 time to meet</w:t>
            </w:r>
            <w:r w:rsidR="00F14B3C">
              <w:rPr>
                <w:rFonts w:ascii="Times New Roman" w:hAnsi="Times New Roman" w:cs="Times New Roman"/>
              </w:rPr>
              <w:t xml:space="preserve"> -</w:t>
            </w:r>
            <w:r>
              <w:rPr>
                <w:rFonts w:ascii="Times New Roman" w:hAnsi="Times New Roman" w:cs="Times New Roman"/>
              </w:rPr>
              <w:t xml:space="preserve"> </w:t>
            </w:r>
            <w:hyperlink r:id="rId9" w:history="1">
              <w:r w:rsidRPr="007264AB">
                <w:rPr>
                  <w:rStyle w:val="Hyperlink"/>
                  <w:rFonts w:ascii="Times New Roman" w:hAnsi="Times New Roman" w:cs="Times New Roman"/>
                </w:rPr>
                <w:t>laura.derosier@hennepin.us</w:t>
              </w:r>
            </w:hyperlink>
            <w:r>
              <w:rPr>
                <w:rFonts w:ascii="Times New Roman" w:hAnsi="Times New Roman" w:cs="Times New Roman"/>
              </w:rPr>
              <w:t xml:space="preserve"> </w:t>
            </w:r>
          </w:p>
        </w:tc>
      </w:tr>
      <w:tr w:rsidR="0010792A" w:rsidRPr="000779D5" w14:paraId="4FD71626" w14:textId="77777777" w:rsidTr="006C0E96">
        <w:tc>
          <w:tcPr>
            <w:tcW w:w="9805" w:type="dxa"/>
            <w:shd w:val="clear" w:color="auto" w:fill="D9D9D9" w:themeFill="background1" w:themeFillShade="D9"/>
          </w:tcPr>
          <w:p w14:paraId="0B36C959" w14:textId="77777777" w:rsidR="0010792A" w:rsidRPr="000779D5" w:rsidRDefault="0010792A" w:rsidP="00E23314">
            <w:pPr>
              <w:rPr>
                <w:rFonts w:ascii="Times New Roman" w:hAnsi="Times New Roman" w:cs="Times New Roman"/>
              </w:rPr>
            </w:pPr>
          </w:p>
        </w:tc>
      </w:tr>
    </w:tbl>
    <w:p w14:paraId="6E577F6C" w14:textId="36A179D7" w:rsidR="00E23314" w:rsidRPr="000779D5" w:rsidRDefault="00487289" w:rsidP="00E23314">
      <w:pPr>
        <w:rPr>
          <w:rFonts w:ascii="Times New Roman" w:hAnsi="Times New Roman" w:cs="Times New Roman"/>
          <w:i/>
        </w:rPr>
      </w:pPr>
      <w:r w:rsidRPr="000779D5">
        <w:rPr>
          <w:rFonts w:ascii="Times New Roman" w:hAnsi="Times New Roman" w:cs="Times New Roman"/>
          <w:u w:val="single"/>
        </w:rPr>
        <w:t>HUD CoC Consolidated</w:t>
      </w:r>
      <w:r w:rsidR="00E23314" w:rsidRPr="000779D5">
        <w:rPr>
          <w:rFonts w:ascii="Times New Roman" w:hAnsi="Times New Roman" w:cs="Times New Roman"/>
          <w:u w:val="single"/>
        </w:rPr>
        <w:t xml:space="preserve"> Application Deadline</w:t>
      </w:r>
      <w:r w:rsidR="00E23314" w:rsidRPr="000779D5">
        <w:rPr>
          <w:rFonts w:ascii="Times New Roman" w:hAnsi="Times New Roman" w:cs="Times New Roman"/>
        </w:rPr>
        <w:t xml:space="preserve">:  </w:t>
      </w:r>
      <w:r w:rsidR="00E70E7F">
        <w:rPr>
          <w:rFonts w:ascii="Times New Roman" w:hAnsi="Times New Roman" w:cs="Times New Roman"/>
        </w:rPr>
        <w:t>September 30, 2022</w:t>
      </w:r>
      <w:r w:rsidR="00E23314" w:rsidRPr="000779D5">
        <w:rPr>
          <w:rFonts w:ascii="Times New Roman" w:hAnsi="Times New Roman" w:cs="Times New Roman"/>
        </w:rPr>
        <w:t xml:space="preserve">.  </w:t>
      </w:r>
      <w:r w:rsidR="00E23314" w:rsidRPr="000779D5">
        <w:rPr>
          <w:rFonts w:ascii="Times New Roman" w:hAnsi="Times New Roman" w:cs="Times New Roman"/>
          <w:b/>
        </w:rPr>
        <w:t>Note:</w:t>
      </w:r>
      <w:r w:rsidR="002A18CA" w:rsidRPr="000779D5">
        <w:rPr>
          <w:rFonts w:ascii="Times New Roman" w:hAnsi="Times New Roman" w:cs="Times New Roman"/>
        </w:rPr>
        <w:t xml:space="preserve"> </w:t>
      </w:r>
      <w:r w:rsidR="00E23314" w:rsidRPr="000779D5">
        <w:rPr>
          <w:rFonts w:ascii="Times New Roman" w:hAnsi="Times New Roman" w:cs="Times New Roman"/>
          <w:i/>
        </w:rPr>
        <w:t xml:space="preserve">Project Applications must be submitted by the </w:t>
      </w:r>
      <w:r w:rsidR="003A7ED7" w:rsidRPr="000779D5">
        <w:rPr>
          <w:rFonts w:ascii="Times New Roman" w:hAnsi="Times New Roman" w:cs="Times New Roman"/>
          <w:i/>
        </w:rPr>
        <w:t>above</w:t>
      </w:r>
      <w:r w:rsidR="00E23314" w:rsidRPr="000779D5">
        <w:rPr>
          <w:rFonts w:ascii="Times New Roman" w:hAnsi="Times New Roman" w:cs="Times New Roman"/>
          <w:i/>
        </w:rPr>
        <w:t xml:space="preserve"> deadlines NOT the Consolidated Application deadline.</w:t>
      </w:r>
    </w:p>
    <w:p w14:paraId="7C3542DB" w14:textId="0877522B" w:rsidR="00B256CA" w:rsidRPr="00A21146" w:rsidRDefault="00D04A97" w:rsidP="00E23314">
      <w:pPr>
        <w:rPr>
          <w:rFonts w:ascii="Times New Roman" w:hAnsi="Times New Roman" w:cs="Times New Roman"/>
          <w:u w:val="single"/>
        </w:rPr>
      </w:pPr>
      <w:r>
        <w:rPr>
          <w:rFonts w:ascii="Times New Roman" w:hAnsi="Times New Roman" w:cs="Times New Roman"/>
        </w:rPr>
        <w:t>HUD announces</w:t>
      </w:r>
      <w:r w:rsidR="00A21146">
        <w:rPr>
          <w:rFonts w:ascii="Times New Roman" w:hAnsi="Times New Roman" w:cs="Times New Roman"/>
        </w:rPr>
        <w:t xml:space="preserve"> a</w:t>
      </w:r>
      <w:r w:rsidR="00B256CA" w:rsidRPr="004B2F39">
        <w:rPr>
          <w:rFonts w:ascii="Times New Roman" w:hAnsi="Times New Roman" w:cs="Times New Roman"/>
        </w:rPr>
        <w:t xml:space="preserve">pproximately </w:t>
      </w:r>
      <w:r w:rsidR="00B256CA" w:rsidRPr="009034FD">
        <w:rPr>
          <w:rFonts w:ascii="Times New Roman" w:hAnsi="Times New Roman" w:cs="Times New Roman"/>
        </w:rPr>
        <w:t>$2.</w:t>
      </w:r>
      <w:r w:rsidR="009034FD" w:rsidRPr="009034FD">
        <w:rPr>
          <w:rFonts w:ascii="Times New Roman" w:hAnsi="Times New Roman" w:cs="Times New Roman"/>
        </w:rPr>
        <w:t>7</w:t>
      </w:r>
      <w:r w:rsidR="00B256CA" w:rsidRPr="009034FD">
        <w:rPr>
          <w:rFonts w:ascii="Times New Roman" w:hAnsi="Times New Roman" w:cs="Times New Roman"/>
        </w:rPr>
        <w:t xml:space="preserve"> billion </w:t>
      </w:r>
      <w:r w:rsidR="00B256CA" w:rsidRPr="004B2F39">
        <w:rPr>
          <w:rFonts w:ascii="Times New Roman" w:hAnsi="Times New Roman" w:cs="Times New Roman"/>
        </w:rPr>
        <w:t>available for the FY2</w:t>
      </w:r>
      <w:r w:rsidR="006C3DC6">
        <w:rPr>
          <w:rFonts w:ascii="Times New Roman" w:hAnsi="Times New Roman" w:cs="Times New Roman"/>
        </w:rPr>
        <w:t>2</w:t>
      </w:r>
      <w:r w:rsidR="00B256CA" w:rsidRPr="004B2F39">
        <w:rPr>
          <w:rFonts w:ascii="Times New Roman" w:hAnsi="Times New Roman" w:cs="Times New Roman"/>
        </w:rPr>
        <w:t xml:space="preserve"> CoC Program NOF</w:t>
      </w:r>
      <w:r w:rsidR="006C3DC6">
        <w:rPr>
          <w:rFonts w:ascii="Times New Roman" w:hAnsi="Times New Roman" w:cs="Times New Roman"/>
        </w:rPr>
        <w:t>O</w:t>
      </w:r>
      <w:r w:rsidR="00B256CA" w:rsidRPr="004B2F39">
        <w:rPr>
          <w:rFonts w:ascii="Times New Roman" w:hAnsi="Times New Roman" w:cs="Times New Roman"/>
        </w:rPr>
        <w:t xml:space="preserve">, including up to </w:t>
      </w:r>
      <w:r w:rsidR="008D3EFD">
        <w:rPr>
          <w:rFonts w:ascii="Times New Roman" w:hAnsi="Times New Roman" w:cs="Times New Roman"/>
        </w:rPr>
        <w:t xml:space="preserve">$52 </w:t>
      </w:r>
      <w:r w:rsidR="00B256CA" w:rsidRPr="004B2F39">
        <w:rPr>
          <w:rFonts w:ascii="Times New Roman" w:hAnsi="Times New Roman" w:cs="Times New Roman"/>
        </w:rPr>
        <w:t xml:space="preserve">million available for New Domestic Violence (DV) Bonus projects.  </w:t>
      </w:r>
    </w:p>
    <w:p w14:paraId="2DC03C69" w14:textId="404A4C7E" w:rsidR="003C624F" w:rsidRPr="00715EE2" w:rsidRDefault="003C624F" w:rsidP="00E23314">
      <w:pPr>
        <w:rPr>
          <w:rFonts w:ascii="Times New Roman" w:hAnsi="Times New Roman" w:cs="Times New Roman"/>
          <w:b/>
          <w:bCs/>
          <w:u w:val="single"/>
        </w:rPr>
      </w:pPr>
      <w:r w:rsidRPr="00715EE2">
        <w:rPr>
          <w:rFonts w:ascii="Times New Roman" w:hAnsi="Times New Roman" w:cs="Times New Roman"/>
          <w:b/>
          <w:bCs/>
          <w:u w:val="single"/>
        </w:rPr>
        <w:t>Hennepin County</w:t>
      </w:r>
      <w:r w:rsidR="003D1381" w:rsidRPr="00715EE2">
        <w:rPr>
          <w:rFonts w:ascii="Times New Roman" w:hAnsi="Times New Roman" w:cs="Times New Roman"/>
          <w:b/>
          <w:bCs/>
          <w:u w:val="single"/>
        </w:rPr>
        <w:t xml:space="preserve"> FY</w:t>
      </w:r>
      <w:r w:rsidR="00412D34" w:rsidRPr="00715EE2">
        <w:rPr>
          <w:rFonts w:ascii="Times New Roman" w:hAnsi="Times New Roman" w:cs="Times New Roman"/>
          <w:b/>
          <w:bCs/>
          <w:u w:val="single"/>
        </w:rPr>
        <w:t>20</w:t>
      </w:r>
      <w:r w:rsidR="005D27A4" w:rsidRPr="00715EE2">
        <w:rPr>
          <w:rFonts w:ascii="Times New Roman" w:hAnsi="Times New Roman" w:cs="Times New Roman"/>
          <w:b/>
          <w:bCs/>
          <w:u w:val="single"/>
        </w:rPr>
        <w:t>2</w:t>
      </w:r>
      <w:r w:rsidR="006C3DC6">
        <w:rPr>
          <w:rFonts w:ascii="Times New Roman" w:hAnsi="Times New Roman" w:cs="Times New Roman"/>
          <w:b/>
          <w:bCs/>
          <w:u w:val="single"/>
        </w:rPr>
        <w:t>2</w:t>
      </w:r>
      <w:r w:rsidR="00715EE2">
        <w:rPr>
          <w:rFonts w:ascii="Times New Roman" w:hAnsi="Times New Roman" w:cs="Times New Roman"/>
          <w:b/>
          <w:bCs/>
          <w:u w:val="single"/>
        </w:rPr>
        <w:t xml:space="preserve"> </w:t>
      </w:r>
      <w:r w:rsidR="004E30F5">
        <w:rPr>
          <w:rFonts w:ascii="Times New Roman" w:hAnsi="Times New Roman" w:cs="Times New Roman"/>
          <w:b/>
          <w:bCs/>
          <w:u w:val="single"/>
        </w:rPr>
        <w:t>available funds</w:t>
      </w:r>
      <w:r w:rsidR="00AC39ED">
        <w:rPr>
          <w:rFonts w:ascii="Times New Roman" w:hAnsi="Times New Roman" w:cs="Times New Roman"/>
          <w:b/>
          <w:bCs/>
          <w:u w:val="single"/>
        </w:rPr>
        <w:t>:</w:t>
      </w:r>
    </w:p>
    <w:tbl>
      <w:tblPr>
        <w:tblStyle w:val="TableGrid"/>
        <w:tblW w:w="9805" w:type="dxa"/>
        <w:tblLook w:val="04A0" w:firstRow="1" w:lastRow="0" w:firstColumn="1" w:lastColumn="0" w:noHBand="0" w:noVBand="1"/>
      </w:tblPr>
      <w:tblGrid>
        <w:gridCol w:w="1615"/>
        <w:gridCol w:w="8190"/>
      </w:tblGrid>
      <w:tr w:rsidR="00200F15" w:rsidRPr="000779D5" w14:paraId="5248A610" w14:textId="77777777" w:rsidTr="00B17269">
        <w:tc>
          <w:tcPr>
            <w:tcW w:w="1615" w:type="dxa"/>
            <w:shd w:val="clear" w:color="auto" w:fill="D9D9D9" w:themeFill="background1" w:themeFillShade="D9"/>
          </w:tcPr>
          <w:p w14:paraId="42DA4A75" w14:textId="6F0E697F" w:rsidR="00200F15" w:rsidRPr="006C3DC6" w:rsidRDefault="00200F15" w:rsidP="002F4CD0">
            <w:pPr>
              <w:rPr>
                <w:rFonts w:ascii="Times New Roman" w:hAnsi="Times New Roman" w:cs="Times New Roman"/>
                <w:color w:val="FF0000"/>
              </w:rPr>
            </w:pPr>
          </w:p>
        </w:tc>
        <w:tc>
          <w:tcPr>
            <w:tcW w:w="8190" w:type="dxa"/>
            <w:shd w:val="clear" w:color="auto" w:fill="D9D9D9" w:themeFill="background1" w:themeFillShade="D9"/>
          </w:tcPr>
          <w:p w14:paraId="4B673AD4" w14:textId="77777777" w:rsidR="00200F15" w:rsidRPr="000779D5" w:rsidRDefault="00200F15" w:rsidP="005D038D">
            <w:pPr>
              <w:rPr>
                <w:rFonts w:ascii="Times New Roman" w:hAnsi="Times New Roman" w:cs="Times New Roman"/>
              </w:rPr>
            </w:pPr>
            <w:r w:rsidRPr="000779D5">
              <w:rPr>
                <w:rFonts w:ascii="Times New Roman" w:hAnsi="Times New Roman" w:cs="Times New Roman"/>
              </w:rPr>
              <w:t>Primary Pro-Rata Need (PPRN)</w:t>
            </w:r>
          </w:p>
        </w:tc>
      </w:tr>
      <w:tr w:rsidR="00200F15" w:rsidRPr="000779D5" w14:paraId="6957AAAD" w14:textId="77777777" w:rsidTr="00B17269">
        <w:tc>
          <w:tcPr>
            <w:tcW w:w="1615" w:type="dxa"/>
            <w:shd w:val="clear" w:color="auto" w:fill="D9D9D9" w:themeFill="background1" w:themeFillShade="D9"/>
          </w:tcPr>
          <w:p w14:paraId="4817A5DA" w14:textId="630D1C6C" w:rsidR="00200F15" w:rsidRPr="006C3DC6" w:rsidRDefault="00214FC2" w:rsidP="005D038D">
            <w:pPr>
              <w:rPr>
                <w:rFonts w:ascii="Times New Roman" w:hAnsi="Times New Roman" w:cs="Times New Roman"/>
                <w:color w:val="FF0000"/>
              </w:rPr>
            </w:pPr>
            <w:r w:rsidRPr="006A0821">
              <w:rPr>
                <w:rFonts w:ascii="Times New Roman" w:hAnsi="Times New Roman" w:cs="Times New Roman"/>
              </w:rPr>
              <w:t>$14,511,545</w:t>
            </w:r>
          </w:p>
        </w:tc>
        <w:tc>
          <w:tcPr>
            <w:tcW w:w="8190" w:type="dxa"/>
            <w:shd w:val="clear" w:color="auto" w:fill="D9D9D9" w:themeFill="background1" w:themeFillShade="D9"/>
          </w:tcPr>
          <w:p w14:paraId="4E428791" w14:textId="77777777" w:rsidR="00200F15" w:rsidRPr="000779D5" w:rsidRDefault="00200F15" w:rsidP="005D038D">
            <w:pPr>
              <w:rPr>
                <w:rFonts w:ascii="Times New Roman" w:hAnsi="Times New Roman" w:cs="Times New Roman"/>
              </w:rPr>
            </w:pPr>
            <w:r w:rsidRPr="000779D5">
              <w:rPr>
                <w:rFonts w:ascii="Times New Roman" w:hAnsi="Times New Roman" w:cs="Times New Roman"/>
              </w:rPr>
              <w:t>Estimated Annual Renewal Demand (ARD)</w:t>
            </w:r>
          </w:p>
        </w:tc>
      </w:tr>
      <w:tr w:rsidR="00200F15" w:rsidRPr="000779D5" w14:paraId="6EB92763" w14:textId="77777777" w:rsidTr="00B17269">
        <w:tc>
          <w:tcPr>
            <w:tcW w:w="1615" w:type="dxa"/>
            <w:shd w:val="clear" w:color="auto" w:fill="D9D9D9" w:themeFill="background1" w:themeFillShade="D9"/>
          </w:tcPr>
          <w:p w14:paraId="633BA95B" w14:textId="09085213" w:rsidR="00200F15" w:rsidRPr="006C3DC6" w:rsidRDefault="00200F15" w:rsidP="005D038D">
            <w:pPr>
              <w:rPr>
                <w:rFonts w:ascii="Times New Roman" w:hAnsi="Times New Roman" w:cs="Times New Roman"/>
                <w:color w:val="FF0000"/>
              </w:rPr>
            </w:pPr>
          </w:p>
        </w:tc>
        <w:tc>
          <w:tcPr>
            <w:tcW w:w="8190" w:type="dxa"/>
            <w:shd w:val="clear" w:color="auto" w:fill="D9D9D9" w:themeFill="background1" w:themeFillShade="D9"/>
          </w:tcPr>
          <w:p w14:paraId="02DCE13A" w14:textId="7ADFC13F" w:rsidR="00200F15" w:rsidRPr="000779D5" w:rsidRDefault="00200F15" w:rsidP="005D038D">
            <w:pPr>
              <w:rPr>
                <w:rFonts w:ascii="Times New Roman" w:hAnsi="Times New Roman" w:cs="Times New Roman"/>
              </w:rPr>
            </w:pPr>
            <w:r w:rsidRPr="000779D5">
              <w:rPr>
                <w:rFonts w:ascii="Times New Roman" w:hAnsi="Times New Roman" w:cs="Times New Roman"/>
              </w:rPr>
              <w:t>Tier 1 (</w:t>
            </w:r>
            <w:r w:rsidR="006A0821">
              <w:rPr>
                <w:rFonts w:ascii="Times New Roman" w:hAnsi="Times New Roman" w:cs="Times New Roman"/>
              </w:rPr>
              <w:t>95</w:t>
            </w:r>
            <w:r w:rsidRPr="000779D5">
              <w:rPr>
                <w:rFonts w:ascii="Times New Roman" w:hAnsi="Times New Roman" w:cs="Times New Roman"/>
              </w:rPr>
              <w:t>% of ARD)</w:t>
            </w:r>
          </w:p>
        </w:tc>
      </w:tr>
      <w:tr w:rsidR="006A0821" w:rsidRPr="000779D5" w14:paraId="76E3C4CF" w14:textId="77777777" w:rsidTr="00B17269">
        <w:tc>
          <w:tcPr>
            <w:tcW w:w="1615" w:type="dxa"/>
            <w:shd w:val="clear" w:color="auto" w:fill="D9D9D9" w:themeFill="background1" w:themeFillShade="D9"/>
          </w:tcPr>
          <w:p w14:paraId="5F6A08F3" w14:textId="77777777" w:rsidR="006A0821" w:rsidRPr="006C3DC6" w:rsidRDefault="006A0821" w:rsidP="005D038D">
            <w:pPr>
              <w:rPr>
                <w:rFonts w:ascii="Times New Roman" w:hAnsi="Times New Roman" w:cs="Times New Roman"/>
                <w:color w:val="FF0000"/>
              </w:rPr>
            </w:pPr>
          </w:p>
        </w:tc>
        <w:tc>
          <w:tcPr>
            <w:tcW w:w="8190" w:type="dxa"/>
            <w:shd w:val="clear" w:color="auto" w:fill="D9D9D9" w:themeFill="background1" w:themeFillShade="D9"/>
          </w:tcPr>
          <w:p w14:paraId="01E6309E" w14:textId="2109887B" w:rsidR="006A0821" w:rsidRPr="000779D5" w:rsidRDefault="006A0821" w:rsidP="005D038D">
            <w:pPr>
              <w:rPr>
                <w:rFonts w:ascii="Times New Roman" w:hAnsi="Times New Roman" w:cs="Times New Roman"/>
              </w:rPr>
            </w:pPr>
            <w:r>
              <w:rPr>
                <w:rFonts w:ascii="Times New Roman" w:hAnsi="Times New Roman" w:cs="Times New Roman"/>
              </w:rPr>
              <w:t>Tier 2 (5% of ARD)</w:t>
            </w:r>
          </w:p>
        </w:tc>
      </w:tr>
      <w:tr w:rsidR="00200F15" w:rsidRPr="000779D5" w14:paraId="5EBAB89D" w14:textId="77777777" w:rsidTr="00B17269">
        <w:tc>
          <w:tcPr>
            <w:tcW w:w="1615" w:type="dxa"/>
            <w:shd w:val="clear" w:color="auto" w:fill="D9D9D9" w:themeFill="background1" w:themeFillShade="D9"/>
          </w:tcPr>
          <w:p w14:paraId="4B310B1A" w14:textId="1F415987" w:rsidR="00200F15" w:rsidRPr="006C3DC6" w:rsidRDefault="00200F15" w:rsidP="005D038D">
            <w:pPr>
              <w:rPr>
                <w:rFonts w:ascii="Times New Roman" w:hAnsi="Times New Roman" w:cs="Times New Roman"/>
                <w:color w:val="FF0000"/>
              </w:rPr>
            </w:pPr>
          </w:p>
        </w:tc>
        <w:tc>
          <w:tcPr>
            <w:tcW w:w="8190" w:type="dxa"/>
            <w:shd w:val="clear" w:color="auto" w:fill="D9D9D9" w:themeFill="background1" w:themeFillShade="D9"/>
          </w:tcPr>
          <w:p w14:paraId="3383B4C5" w14:textId="24900FE6" w:rsidR="00200F15" w:rsidRPr="000779D5" w:rsidRDefault="00F15082" w:rsidP="005D038D">
            <w:pPr>
              <w:rPr>
                <w:rFonts w:ascii="Times New Roman" w:hAnsi="Times New Roman" w:cs="Times New Roman"/>
              </w:rPr>
            </w:pPr>
            <w:r>
              <w:rPr>
                <w:rFonts w:ascii="Times New Roman" w:hAnsi="Times New Roman" w:cs="Times New Roman"/>
              </w:rPr>
              <w:t>CoC</w:t>
            </w:r>
            <w:r w:rsidR="00200F15" w:rsidRPr="000779D5">
              <w:rPr>
                <w:rFonts w:ascii="Times New Roman" w:hAnsi="Times New Roman" w:cs="Times New Roman"/>
              </w:rPr>
              <w:t xml:space="preserve"> Bonus opportunity</w:t>
            </w:r>
            <w:r w:rsidR="00214FC2">
              <w:rPr>
                <w:rFonts w:ascii="Times New Roman" w:hAnsi="Times New Roman" w:cs="Times New Roman"/>
              </w:rPr>
              <w:t xml:space="preserve"> (5%)</w:t>
            </w:r>
          </w:p>
        </w:tc>
      </w:tr>
      <w:tr w:rsidR="002F4CD0" w:rsidRPr="000779D5" w14:paraId="2C472F6F" w14:textId="77777777" w:rsidTr="00B17269">
        <w:tc>
          <w:tcPr>
            <w:tcW w:w="1615" w:type="dxa"/>
            <w:shd w:val="clear" w:color="auto" w:fill="D9D9D9" w:themeFill="background1" w:themeFillShade="D9"/>
          </w:tcPr>
          <w:p w14:paraId="3C495114" w14:textId="2914537B" w:rsidR="002F4CD0" w:rsidRPr="006C3DC6" w:rsidRDefault="002F4CD0" w:rsidP="002F4CD0">
            <w:pPr>
              <w:rPr>
                <w:rFonts w:ascii="Times New Roman" w:hAnsi="Times New Roman" w:cs="Times New Roman"/>
                <w:color w:val="FF0000"/>
              </w:rPr>
            </w:pPr>
          </w:p>
        </w:tc>
        <w:tc>
          <w:tcPr>
            <w:tcW w:w="8190" w:type="dxa"/>
            <w:shd w:val="clear" w:color="auto" w:fill="D9D9D9" w:themeFill="background1" w:themeFillShade="D9"/>
          </w:tcPr>
          <w:p w14:paraId="63B83146" w14:textId="77777777" w:rsidR="002F4CD0" w:rsidRPr="000779D5" w:rsidRDefault="002F4CD0" w:rsidP="005D038D">
            <w:pPr>
              <w:rPr>
                <w:rFonts w:ascii="Times New Roman" w:hAnsi="Times New Roman" w:cs="Times New Roman"/>
              </w:rPr>
            </w:pPr>
            <w:r w:rsidRPr="000779D5">
              <w:rPr>
                <w:rFonts w:ascii="Times New Roman" w:hAnsi="Times New Roman" w:cs="Times New Roman"/>
              </w:rPr>
              <w:t>DV Permanent Housing Bonus opportunity</w:t>
            </w:r>
            <w:r w:rsidR="00A71DA5" w:rsidRPr="000779D5">
              <w:rPr>
                <w:rFonts w:ascii="Times New Roman" w:hAnsi="Times New Roman" w:cs="Times New Roman"/>
              </w:rPr>
              <w:t xml:space="preserve"> (10% PPRN)</w:t>
            </w:r>
          </w:p>
        </w:tc>
      </w:tr>
      <w:tr w:rsidR="00824C1F" w:rsidRPr="000779D5" w14:paraId="3996B785" w14:textId="77777777" w:rsidTr="00B17269">
        <w:tc>
          <w:tcPr>
            <w:tcW w:w="1615" w:type="dxa"/>
            <w:shd w:val="clear" w:color="auto" w:fill="D9D9D9" w:themeFill="background1" w:themeFillShade="D9"/>
          </w:tcPr>
          <w:p w14:paraId="2AE435A4" w14:textId="0BD35B72" w:rsidR="00824C1F" w:rsidRPr="006C3DC6" w:rsidRDefault="00824C1F" w:rsidP="002F4CD0">
            <w:pPr>
              <w:rPr>
                <w:rFonts w:ascii="Times New Roman" w:hAnsi="Times New Roman" w:cs="Times New Roman"/>
                <w:color w:val="FF0000"/>
              </w:rPr>
            </w:pPr>
          </w:p>
        </w:tc>
        <w:tc>
          <w:tcPr>
            <w:tcW w:w="8190" w:type="dxa"/>
            <w:shd w:val="clear" w:color="auto" w:fill="D9D9D9" w:themeFill="background1" w:themeFillShade="D9"/>
          </w:tcPr>
          <w:p w14:paraId="0FEAB10B" w14:textId="74805BDA" w:rsidR="00824C1F" w:rsidRPr="000779D5" w:rsidRDefault="00824C1F" w:rsidP="005D038D">
            <w:pPr>
              <w:rPr>
                <w:rFonts w:ascii="Times New Roman" w:hAnsi="Times New Roman" w:cs="Times New Roman"/>
              </w:rPr>
            </w:pPr>
            <w:r>
              <w:rPr>
                <w:rFonts w:ascii="Times New Roman" w:hAnsi="Times New Roman" w:cs="Times New Roman"/>
              </w:rPr>
              <w:t xml:space="preserve">Planning Grant </w:t>
            </w:r>
          </w:p>
        </w:tc>
      </w:tr>
    </w:tbl>
    <w:p w14:paraId="4B058B53" w14:textId="77777777" w:rsidR="002D1468" w:rsidRDefault="002D1468" w:rsidP="00E23314">
      <w:pPr>
        <w:rPr>
          <w:rFonts w:ascii="Times New Roman" w:hAnsi="Times New Roman" w:cs="Times New Roman"/>
          <w:b/>
          <w:bCs/>
          <w:highlight w:val="yellow"/>
          <w:u w:val="single"/>
        </w:rPr>
      </w:pPr>
    </w:p>
    <w:p w14:paraId="36ED99C2" w14:textId="5D1B3DA2" w:rsidR="008A579D" w:rsidRPr="00715EE2" w:rsidRDefault="008A579D" w:rsidP="00E23314">
      <w:pPr>
        <w:rPr>
          <w:rFonts w:ascii="Times New Roman" w:hAnsi="Times New Roman" w:cs="Times New Roman"/>
          <w:b/>
          <w:bCs/>
          <w:u w:val="single"/>
        </w:rPr>
      </w:pPr>
      <w:r w:rsidRPr="00554AC4">
        <w:rPr>
          <w:rFonts w:ascii="Times New Roman" w:hAnsi="Times New Roman" w:cs="Times New Roman"/>
          <w:b/>
          <w:bCs/>
          <w:u w:val="single"/>
        </w:rPr>
        <w:t>Changes</w:t>
      </w:r>
      <w:r w:rsidR="00715EE2" w:rsidRPr="00554AC4">
        <w:rPr>
          <w:rFonts w:ascii="Times New Roman" w:hAnsi="Times New Roman" w:cs="Times New Roman"/>
          <w:b/>
          <w:bCs/>
          <w:u w:val="single"/>
        </w:rPr>
        <w:t xml:space="preserve"> for the FY202</w:t>
      </w:r>
      <w:r w:rsidR="006C3DC6">
        <w:rPr>
          <w:rFonts w:ascii="Times New Roman" w:hAnsi="Times New Roman" w:cs="Times New Roman"/>
          <w:b/>
          <w:bCs/>
          <w:u w:val="single"/>
        </w:rPr>
        <w:t>2</w:t>
      </w:r>
      <w:r w:rsidR="00375A15">
        <w:rPr>
          <w:rFonts w:ascii="Times New Roman" w:hAnsi="Times New Roman" w:cs="Times New Roman"/>
          <w:b/>
          <w:bCs/>
          <w:u w:val="single"/>
        </w:rPr>
        <w:t xml:space="preserve"> CoC</w:t>
      </w:r>
      <w:r w:rsidR="00715EE2" w:rsidRPr="00554AC4">
        <w:rPr>
          <w:rFonts w:ascii="Times New Roman" w:hAnsi="Times New Roman" w:cs="Times New Roman"/>
          <w:b/>
          <w:bCs/>
          <w:u w:val="single"/>
        </w:rPr>
        <w:t xml:space="preserve"> NOFO</w:t>
      </w:r>
      <w:r w:rsidRPr="00554AC4">
        <w:rPr>
          <w:rFonts w:ascii="Times New Roman" w:hAnsi="Times New Roman" w:cs="Times New Roman"/>
          <w:b/>
          <w:bCs/>
          <w:u w:val="single"/>
        </w:rPr>
        <w:t>:</w:t>
      </w:r>
    </w:p>
    <w:p w14:paraId="41ACB39A" w14:textId="3387A3F4" w:rsidR="0056205D" w:rsidRDefault="008A579D" w:rsidP="0056205D">
      <w:pPr>
        <w:pStyle w:val="NormalWeb"/>
        <w:rPr>
          <w:sz w:val="22"/>
          <w:szCs w:val="22"/>
        </w:rPr>
      </w:pPr>
      <w:r w:rsidRPr="000779D5">
        <w:rPr>
          <w:sz w:val="22"/>
          <w:szCs w:val="22"/>
        </w:rPr>
        <w:t>The list below highlights some important information regarding new concepts CoCs should con</w:t>
      </w:r>
      <w:r w:rsidR="003D1381" w:rsidRPr="000779D5">
        <w:rPr>
          <w:sz w:val="22"/>
          <w:szCs w:val="22"/>
        </w:rPr>
        <w:t>sider while planning for the FY</w:t>
      </w:r>
      <w:r w:rsidRPr="000779D5">
        <w:rPr>
          <w:sz w:val="22"/>
          <w:szCs w:val="22"/>
        </w:rPr>
        <w:t>20</w:t>
      </w:r>
      <w:r w:rsidR="007812AD">
        <w:rPr>
          <w:sz w:val="22"/>
          <w:szCs w:val="22"/>
        </w:rPr>
        <w:t>2</w:t>
      </w:r>
      <w:r w:rsidR="006C3DC6">
        <w:rPr>
          <w:sz w:val="22"/>
          <w:szCs w:val="22"/>
        </w:rPr>
        <w:t>2</w:t>
      </w:r>
      <w:r w:rsidRPr="000779D5">
        <w:rPr>
          <w:sz w:val="22"/>
          <w:szCs w:val="22"/>
        </w:rPr>
        <w:t xml:space="preserve"> CoC Program Competition. </w:t>
      </w:r>
    </w:p>
    <w:p w14:paraId="16AC2188" w14:textId="54C9CEEB" w:rsidR="00A51355" w:rsidRPr="00214FC2" w:rsidRDefault="00E338B7" w:rsidP="0056205D">
      <w:pPr>
        <w:pStyle w:val="NormalWeb"/>
        <w:numPr>
          <w:ilvl w:val="0"/>
          <w:numId w:val="10"/>
        </w:numPr>
        <w:rPr>
          <w:rStyle w:val="Emphasis"/>
          <w:rFonts w:eastAsia="Times New Roman"/>
          <w:i w:val="0"/>
          <w:iCs w:val="0"/>
          <w:sz w:val="22"/>
          <w:szCs w:val="22"/>
        </w:rPr>
      </w:pPr>
      <w:r w:rsidRPr="00214FC2">
        <w:rPr>
          <w:rStyle w:val="Emphasis"/>
          <w:rFonts w:eastAsia="Times New Roman"/>
          <w:b/>
          <w:bCs/>
          <w:i w:val="0"/>
          <w:iCs w:val="0"/>
          <w:sz w:val="22"/>
          <w:szCs w:val="22"/>
          <w:u w:val="single"/>
        </w:rPr>
        <w:t>Through the Consolidat</w:t>
      </w:r>
      <w:r w:rsidR="00261275" w:rsidRPr="00214FC2">
        <w:rPr>
          <w:rStyle w:val="Emphasis"/>
          <w:rFonts w:eastAsia="Times New Roman"/>
          <w:b/>
          <w:bCs/>
          <w:i w:val="0"/>
          <w:iCs w:val="0"/>
          <w:sz w:val="22"/>
          <w:szCs w:val="22"/>
          <w:u w:val="single"/>
        </w:rPr>
        <w:t>ed Appropriations Act, 2021</w:t>
      </w:r>
      <w:r w:rsidR="00D00E12" w:rsidRPr="00214FC2">
        <w:rPr>
          <w:rStyle w:val="Emphasis"/>
          <w:rFonts w:eastAsia="Times New Roman"/>
          <w:b/>
          <w:bCs/>
          <w:i w:val="0"/>
          <w:iCs w:val="0"/>
          <w:sz w:val="22"/>
          <w:szCs w:val="22"/>
          <w:u w:val="single"/>
        </w:rPr>
        <w:t xml:space="preserve">(Public Law 116-260, approved 12/27/2020, </w:t>
      </w:r>
      <w:r w:rsidR="00F5233B" w:rsidRPr="00214FC2">
        <w:rPr>
          <w:rStyle w:val="Emphasis"/>
          <w:rFonts w:eastAsia="Times New Roman"/>
          <w:b/>
          <w:bCs/>
          <w:i w:val="0"/>
          <w:iCs w:val="0"/>
          <w:sz w:val="22"/>
          <w:szCs w:val="22"/>
          <w:u w:val="single"/>
        </w:rPr>
        <w:t xml:space="preserve">amended Title IV section 435 </w:t>
      </w:r>
      <w:r w:rsidR="009E0999" w:rsidRPr="00214FC2">
        <w:rPr>
          <w:rStyle w:val="Emphasis"/>
          <w:rFonts w:eastAsia="Times New Roman"/>
          <w:b/>
          <w:bCs/>
          <w:i w:val="0"/>
          <w:iCs w:val="0"/>
          <w:sz w:val="22"/>
          <w:szCs w:val="22"/>
          <w:u w:val="single"/>
        </w:rPr>
        <w:t xml:space="preserve">of the act to allow Indian Tribes and </w:t>
      </w:r>
      <w:r w:rsidR="00D6308C" w:rsidRPr="00214FC2">
        <w:rPr>
          <w:rStyle w:val="Emphasis"/>
          <w:rFonts w:eastAsia="Times New Roman"/>
          <w:b/>
          <w:bCs/>
          <w:i w:val="0"/>
          <w:iCs w:val="0"/>
          <w:sz w:val="22"/>
          <w:szCs w:val="22"/>
          <w:u w:val="single"/>
        </w:rPr>
        <w:t>Tribal Designated Housing Entities</w:t>
      </w:r>
      <w:r w:rsidR="00963E10" w:rsidRPr="00214FC2">
        <w:rPr>
          <w:rStyle w:val="Emphasis"/>
          <w:rFonts w:eastAsia="Times New Roman"/>
          <w:b/>
          <w:bCs/>
          <w:i w:val="0"/>
          <w:iCs w:val="0"/>
          <w:sz w:val="22"/>
          <w:szCs w:val="22"/>
          <w:u w:val="single"/>
        </w:rPr>
        <w:t xml:space="preserve"> (TDHE’s)</w:t>
      </w:r>
      <w:r w:rsidR="0068617B" w:rsidRPr="00214FC2">
        <w:rPr>
          <w:rStyle w:val="Emphasis"/>
          <w:rFonts w:eastAsia="Times New Roman"/>
          <w:b/>
          <w:bCs/>
          <w:i w:val="0"/>
          <w:iCs w:val="0"/>
          <w:sz w:val="22"/>
          <w:szCs w:val="22"/>
          <w:u w:val="single"/>
        </w:rPr>
        <w:t xml:space="preserve"> </w:t>
      </w:r>
      <w:r w:rsidR="00093E6F" w:rsidRPr="00214FC2">
        <w:rPr>
          <w:rStyle w:val="Emphasis"/>
          <w:rFonts w:eastAsia="Times New Roman"/>
          <w:b/>
          <w:bCs/>
          <w:i w:val="0"/>
          <w:iCs w:val="0"/>
          <w:sz w:val="22"/>
          <w:szCs w:val="22"/>
          <w:u w:val="single"/>
        </w:rPr>
        <w:t>to</w:t>
      </w:r>
      <w:r w:rsidR="00093E6F" w:rsidRPr="00755C5E">
        <w:rPr>
          <w:rStyle w:val="Emphasis"/>
          <w:rFonts w:eastAsia="Times New Roman"/>
          <w:i w:val="0"/>
          <w:iCs w:val="0"/>
        </w:rPr>
        <w:t xml:space="preserve"> </w:t>
      </w:r>
      <w:r w:rsidR="00093E6F" w:rsidRPr="00214FC2">
        <w:rPr>
          <w:rStyle w:val="Emphasis"/>
          <w:rFonts w:eastAsia="Times New Roman"/>
          <w:i w:val="0"/>
          <w:iCs w:val="0"/>
          <w:sz w:val="22"/>
          <w:szCs w:val="22"/>
        </w:rPr>
        <w:t>be Collaborative Applicants</w:t>
      </w:r>
      <w:r w:rsidR="003D64E9" w:rsidRPr="00214FC2">
        <w:rPr>
          <w:rStyle w:val="Emphasis"/>
          <w:rFonts w:eastAsia="Times New Roman"/>
          <w:i w:val="0"/>
          <w:iCs w:val="0"/>
          <w:sz w:val="22"/>
          <w:szCs w:val="22"/>
        </w:rPr>
        <w:t>, eligible entities, or sub-recipients of the CoC program</w:t>
      </w:r>
      <w:r w:rsidR="00C62CD5" w:rsidRPr="00214FC2">
        <w:rPr>
          <w:rStyle w:val="Emphasis"/>
          <w:rFonts w:eastAsia="Times New Roman"/>
          <w:i w:val="0"/>
          <w:iCs w:val="0"/>
          <w:sz w:val="22"/>
          <w:szCs w:val="22"/>
        </w:rPr>
        <w:t xml:space="preserve"> in addition to amending title IV </w:t>
      </w:r>
      <w:r w:rsidR="00002B96" w:rsidRPr="00214FC2">
        <w:rPr>
          <w:rStyle w:val="Emphasis"/>
          <w:rFonts w:eastAsia="Times New Roman"/>
          <w:i w:val="0"/>
          <w:iCs w:val="0"/>
          <w:sz w:val="22"/>
          <w:szCs w:val="22"/>
        </w:rPr>
        <w:t>section 401 to add the terms “formula area” and “Indian Tribe”</w:t>
      </w:r>
      <w:r w:rsidR="001C420C" w:rsidRPr="00214FC2">
        <w:rPr>
          <w:rStyle w:val="Emphasis"/>
          <w:rFonts w:eastAsia="Times New Roman"/>
          <w:i w:val="0"/>
          <w:iCs w:val="0"/>
          <w:sz w:val="22"/>
          <w:szCs w:val="22"/>
        </w:rPr>
        <w:t>.</w:t>
      </w:r>
      <w:r w:rsidR="00C8008B" w:rsidRPr="00214FC2">
        <w:rPr>
          <w:rStyle w:val="Emphasis"/>
          <w:rFonts w:eastAsia="Times New Roman"/>
          <w:i w:val="0"/>
          <w:iCs w:val="0"/>
          <w:sz w:val="22"/>
          <w:szCs w:val="22"/>
        </w:rPr>
        <w:t xml:space="preserve">  These </w:t>
      </w:r>
      <w:r w:rsidR="00963E10" w:rsidRPr="00214FC2">
        <w:rPr>
          <w:rStyle w:val="Emphasis"/>
          <w:rFonts w:eastAsia="Times New Roman"/>
          <w:i w:val="0"/>
          <w:iCs w:val="0"/>
          <w:sz w:val="22"/>
          <w:szCs w:val="22"/>
        </w:rPr>
        <w:t xml:space="preserve">amendments mean not only can Indian Tribes &amp; </w:t>
      </w:r>
      <w:r w:rsidR="00963E10" w:rsidRPr="00214FC2">
        <w:rPr>
          <w:rStyle w:val="Emphasis"/>
          <w:rFonts w:eastAsia="Times New Roman"/>
          <w:i w:val="0"/>
          <w:iCs w:val="0"/>
          <w:sz w:val="22"/>
          <w:szCs w:val="22"/>
        </w:rPr>
        <w:lastRenderedPageBreak/>
        <w:t xml:space="preserve">TDHE’s </w:t>
      </w:r>
      <w:r w:rsidR="00F11A61" w:rsidRPr="00214FC2">
        <w:rPr>
          <w:rStyle w:val="Emphasis"/>
          <w:rFonts w:eastAsia="Times New Roman"/>
          <w:i w:val="0"/>
          <w:iCs w:val="0"/>
          <w:sz w:val="22"/>
          <w:szCs w:val="22"/>
        </w:rPr>
        <w:t xml:space="preserve">apply for grants through other CoC’s, but formula areas in the </w:t>
      </w:r>
      <w:r w:rsidR="00F874A7" w:rsidRPr="00214FC2">
        <w:rPr>
          <w:rStyle w:val="Emphasis"/>
          <w:rFonts w:eastAsia="Times New Roman"/>
          <w:i w:val="0"/>
          <w:iCs w:val="0"/>
          <w:sz w:val="22"/>
          <w:szCs w:val="22"/>
        </w:rPr>
        <w:t xml:space="preserve">Indian Housing Block Grant program, are eligible </w:t>
      </w:r>
      <w:r w:rsidR="00597C66" w:rsidRPr="00214FC2">
        <w:rPr>
          <w:rStyle w:val="Emphasis"/>
          <w:rFonts w:eastAsia="Times New Roman"/>
          <w:i w:val="0"/>
          <w:iCs w:val="0"/>
          <w:sz w:val="22"/>
          <w:szCs w:val="22"/>
        </w:rPr>
        <w:t>to be added to the geographic area</w:t>
      </w:r>
      <w:r w:rsidR="00CC54D3" w:rsidRPr="00214FC2">
        <w:rPr>
          <w:rStyle w:val="Emphasis"/>
          <w:rFonts w:eastAsia="Times New Roman"/>
          <w:i w:val="0"/>
          <w:iCs w:val="0"/>
          <w:sz w:val="22"/>
          <w:szCs w:val="22"/>
        </w:rPr>
        <w:t>s of</w:t>
      </w:r>
      <w:r w:rsidR="00CC54D3" w:rsidRPr="00755C5E">
        <w:rPr>
          <w:rStyle w:val="Emphasis"/>
          <w:rFonts w:eastAsia="Times New Roman"/>
          <w:i w:val="0"/>
          <w:iCs w:val="0"/>
        </w:rPr>
        <w:t xml:space="preserve"> </w:t>
      </w:r>
      <w:r w:rsidR="00CC54D3" w:rsidRPr="00214FC2">
        <w:rPr>
          <w:rStyle w:val="Emphasis"/>
          <w:rFonts w:eastAsia="Times New Roman"/>
          <w:i w:val="0"/>
          <w:iCs w:val="0"/>
          <w:sz w:val="22"/>
          <w:szCs w:val="22"/>
        </w:rPr>
        <w:t xml:space="preserve">existing </w:t>
      </w:r>
      <w:r w:rsidR="00755C5E" w:rsidRPr="00214FC2">
        <w:rPr>
          <w:rStyle w:val="Emphasis"/>
          <w:rFonts w:eastAsia="Times New Roman"/>
          <w:i w:val="0"/>
          <w:iCs w:val="0"/>
          <w:sz w:val="22"/>
          <w:szCs w:val="22"/>
        </w:rPr>
        <w:t>CoC’s or</w:t>
      </w:r>
      <w:r w:rsidR="00CC54D3" w:rsidRPr="00214FC2">
        <w:rPr>
          <w:rStyle w:val="Emphasis"/>
          <w:rFonts w:eastAsia="Times New Roman"/>
          <w:i w:val="0"/>
          <w:iCs w:val="0"/>
          <w:sz w:val="22"/>
          <w:szCs w:val="22"/>
        </w:rPr>
        <w:t xml:space="preserve"> included in newly formed CoC’s.</w:t>
      </w:r>
      <w:r w:rsidR="00DC1EDA" w:rsidRPr="00214FC2">
        <w:rPr>
          <w:rStyle w:val="Emphasis"/>
          <w:rFonts w:eastAsia="Times New Roman"/>
          <w:i w:val="0"/>
          <w:iCs w:val="0"/>
          <w:sz w:val="22"/>
          <w:szCs w:val="22"/>
        </w:rPr>
        <w:t xml:space="preserve"> For the 2021 competition, Tribes &amp; THDE’s </w:t>
      </w:r>
      <w:r w:rsidR="00BD658E" w:rsidRPr="00214FC2">
        <w:rPr>
          <w:rStyle w:val="Emphasis"/>
          <w:rFonts w:eastAsia="Times New Roman"/>
          <w:i w:val="0"/>
          <w:iCs w:val="0"/>
          <w:sz w:val="22"/>
          <w:szCs w:val="22"/>
        </w:rPr>
        <w:t xml:space="preserve">will be eligible to apply through existing CoC’s only. </w:t>
      </w:r>
      <w:r w:rsidR="00D44DF6" w:rsidRPr="00214FC2">
        <w:rPr>
          <w:rStyle w:val="Emphasis"/>
          <w:rFonts w:eastAsia="Times New Roman"/>
          <w:i w:val="0"/>
          <w:iCs w:val="0"/>
          <w:sz w:val="22"/>
          <w:szCs w:val="22"/>
        </w:rPr>
        <w:t xml:space="preserve">Beginning in the FY2022 competition, HUD will publish PPRN’s </w:t>
      </w:r>
      <w:r w:rsidR="006E4AC1" w:rsidRPr="00214FC2">
        <w:rPr>
          <w:rStyle w:val="Emphasis"/>
          <w:rFonts w:eastAsia="Times New Roman"/>
          <w:i w:val="0"/>
          <w:iCs w:val="0"/>
          <w:sz w:val="22"/>
          <w:szCs w:val="22"/>
        </w:rPr>
        <w:t xml:space="preserve">for all formula areas and make formula areas </w:t>
      </w:r>
      <w:r w:rsidR="00454AFD" w:rsidRPr="00214FC2">
        <w:rPr>
          <w:rStyle w:val="Emphasis"/>
          <w:rFonts w:eastAsia="Times New Roman"/>
          <w:i w:val="0"/>
          <w:iCs w:val="0"/>
          <w:sz w:val="22"/>
          <w:szCs w:val="22"/>
        </w:rPr>
        <w:t>available to be claimed by CoC’s during the FY2022 registration process.</w:t>
      </w:r>
      <w:r w:rsidR="00D44DF6" w:rsidRPr="00214FC2">
        <w:rPr>
          <w:rStyle w:val="Emphasis"/>
          <w:rFonts w:eastAsia="Times New Roman"/>
          <w:i w:val="0"/>
          <w:iCs w:val="0"/>
          <w:sz w:val="22"/>
          <w:szCs w:val="22"/>
        </w:rPr>
        <w:t xml:space="preserve"> </w:t>
      </w:r>
    </w:p>
    <w:p w14:paraId="5D13E7A9" w14:textId="363F9CD6" w:rsidR="00870FD3" w:rsidRPr="00214FC2" w:rsidRDefault="00384492" w:rsidP="00F545B6">
      <w:pPr>
        <w:pStyle w:val="NormalWeb"/>
        <w:numPr>
          <w:ilvl w:val="0"/>
          <w:numId w:val="10"/>
        </w:numPr>
        <w:rPr>
          <w:rStyle w:val="Emphasis"/>
          <w:rFonts w:eastAsia="Times New Roman"/>
          <w:i w:val="0"/>
          <w:iCs w:val="0"/>
          <w:sz w:val="22"/>
          <w:szCs w:val="22"/>
        </w:rPr>
      </w:pPr>
      <w:r w:rsidRPr="00214FC2">
        <w:rPr>
          <w:rStyle w:val="Emphasis"/>
          <w:rFonts w:eastAsia="Times New Roman"/>
          <w:b/>
          <w:bCs/>
          <w:i w:val="0"/>
          <w:iCs w:val="0"/>
          <w:sz w:val="22"/>
          <w:szCs w:val="22"/>
          <w:u w:val="single"/>
        </w:rPr>
        <w:t>Transition Grants</w:t>
      </w:r>
      <w:r w:rsidRPr="00214FC2">
        <w:rPr>
          <w:rStyle w:val="Emphasis"/>
          <w:rFonts w:eastAsia="Times New Roman"/>
          <w:i w:val="0"/>
          <w:iCs w:val="0"/>
          <w:sz w:val="22"/>
          <w:szCs w:val="22"/>
        </w:rPr>
        <w:t xml:space="preserve">: </w:t>
      </w:r>
      <w:r w:rsidR="00C26E9F" w:rsidRPr="00214FC2">
        <w:rPr>
          <w:rStyle w:val="Emphasis"/>
          <w:rFonts w:eastAsia="Times New Roman"/>
          <w:i w:val="0"/>
          <w:iCs w:val="0"/>
          <w:sz w:val="22"/>
          <w:szCs w:val="22"/>
        </w:rPr>
        <w:t>HUD first introduced transition grants in FY2018</w:t>
      </w:r>
      <w:r w:rsidR="00D70071" w:rsidRPr="00214FC2">
        <w:rPr>
          <w:rStyle w:val="Emphasis"/>
          <w:rFonts w:eastAsia="Times New Roman"/>
          <w:i w:val="0"/>
          <w:iCs w:val="0"/>
          <w:sz w:val="22"/>
          <w:szCs w:val="22"/>
        </w:rPr>
        <w:t xml:space="preserve">. This process </w:t>
      </w:r>
      <w:r w:rsidR="00F545B6" w:rsidRPr="00214FC2">
        <w:rPr>
          <w:sz w:val="22"/>
          <w:szCs w:val="22"/>
        </w:rPr>
        <w:t xml:space="preserve">provides an opportunity for renewal projects to transition from one CoC Program component to another during the CoC Program Competition </w:t>
      </w:r>
      <w:r w:rsidR="00C26E9F" w:rsidRPr="00214FC2">
        <w:rPr>
          <w:rStyle w:val="Emphasis"/>
          <w:rFonts w:eastAsia="Times New Roman"/>
          <w:i w:val="0"/>
          <w:iCs w:val="0"/>
          <w:sz w:val="22"/>
          <w:szCs w:val="22"/>
        </w:rPr>
        <w:t>his year</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New this year, CoCs will not be</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limited to only 50 percent of awarded funds to be used for the costs of eligible activities of the</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program component originally funded. Instead, recipients may use as much of the awarded grant</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funds on the costs of eligible activities of the program component originally funded; however, by</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the end of the operating year, the recipient must be fully operating the new program component.</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Recipients will be eligible for renewal in subsequent fiscal years for eligible activities of the new</w:t>
      </w:r>
      <w:r w:rsidR="00F545B6" w:rsidRPr="00214FC2">
        <w:rPr>
          <w:rStyle w:val="Emphasis"/>
          <w:rFonts w:eastAsia="Times New Roman"/>
          <w:i w:val="0"/>
          <w:iCs w:val="0"/>
          <w:sz w:val="22"/>
          <w:szCs w:val="22"/>
        </w:rPr>
        <w:t xml:space="preserve"> </w:t>
      </w:r>
      <w:r w:rsidR="009D0931" w:rsidRPr="00214FC2">
        <w:rPr>
          <w:rStyle w:val="Emphasis"/>
          <w:rFonts w:eastAsia="Times New Roman"/>
          <w:i w:val="0"/>
          <w:iCs w:val="0"/>
          <w:sz w:val="22"/>
          <w:szCs w:val="22"/>
        </w:rPr>
        <w:t>program component.</w:t>
      </w:r>
      <w:r w:rsidR="00C26E9F" w:rsidRPr="00214FC2">
        <w:rPr>
          <w:rStyle w:val="Emphasis"/>
          <w:rFonts w:eastAsia="Times New Roman"/>
          <w:i w:val="0"/>
          <w:iCs w:val="0"/>
          <w:sz w:val="22"/>
          <w:szCs w:val="22"/>
        </w:rPr>
        <w:t xml:space="preserve"> </w:t>
      </w:r>
    </w:p>
    <w:p w14:paraId="1F34DB1E" w14:textId="7E4E8E61" w:rsidR="00F545B6" w:rsidRPr="00214FC2" w:rsidRDefault="00384492" w:rsidP="00F545B6">
      <w:pPr>
        <w:pStyle w:val="NormalWeb"/>
        <w:numPr>
          <w:ilvl w:val="0"/>
          <w:numId w:val="10"/>
        </w:numPr>
        <w:rPr>
          <w:rFonts w:eastAsia="Times New Roman"/>
          <w:sz w:val="22"/>
          <w:szCs w:val="22"/>
        </w:rPr>
      </w:pPr>
      <w:r w:rsidRPr="00214FC2">
        <w:rPr>
          <w:b/>
          <w:bCs/>
          <w:sz w:val="22"/>
          <w:szCs w:val="22"/>
          <w:u w:val="single"/>
        </w:rPr>
        <w:t>CoC Evaluation</w:t>
      </w:r>
      <w:r w:rsidRPr="00214FC2">
        <w:rPr>
          <w:sz w:val="22"/>
          <w:szCs w:val="22"/>
          <w:u w:val="single"/>
        </w:rPr>
        <w:t>:</w:t>
      </w:r>
      <w:r w:rsidRPr="00214FC2">
        <w:rPr>
          <w:sz w:val="22"/>
          <w:szCs w:val="22"/>
        </w:rPr>
        <w:t xml:space="preserve"> HUD revised its rating factors regarding CoC evaluation of racial disparities to place greater emphasis on racial equity and increased the number of points on whether CoCs and homeless providers have identified barriers that lead to racial disparities, have taken steps to eliminate barriers to improve racial equity, and have implemented measures to evaluate the efficacy of the steps taken.</w:t>
      </w:r>
    </w:p>
    <w:p w14:paraId="26B9273C" w14:textId="4529222C" w:rsidR="00384492" w:rsidRPr="00214FC2" w:rsidRDefault="00E815B8" w:rsidP="00F545B6">
      <w:pPr>
        <w:pStyle w:val="NormalWeb"/>
        <w:numPr>
          <w:ilvl w:val="0"/>
          <w:numId w:val="10"/>
        </w:numPr>
        <w:rPr>
          <w:rFonts w:eastAsia="Times New Roman"/>
          <w:sz w:val="22"/>
          <w:szCs w:val="22"/>
        </w:rPr>
      </w:pPr>
      <w:r w:rsidRPr="00214FC2">
        <w:rPr>
          <w:b/>
          <w:bCs/>
          <w:sz w:val="22"/>
          <w:szCs w:val="22"/>
          <w:u w:val="single"/>
        </w:rPr>
        <w:t>CoC rating factors</w:t>
      </w:r>
      <w:r w:rsidRPr="00214FC2">
        <w:rPr>
          <w:sz w:val="22"/>
          <w:szCs w:val="22"/>
        </w:rPr>
        <w:t xml:space="preserve">: HUD revised of the rating factors for addressing the needs of Lesbian, Gay, Bisexual, Transgender, and Queer (LGBTQ+) individuals to place greater emphasis on CoCs implementing and training their providers on the CoC-wide anti-discrimination policies that ensure LGBTQ+ individuals and families receive supportive services, shelter, and housing free from discrimination. </w:t>
      </w:r>
    </w:p>
    <w:p w14:paraId="5610D9E9" w14:textId="509E13EF" w:rsidR="00E815B8" w:rsidRPr="00214FC2" w:rsidRDefault="00CC7ACB" w:rsidP="00F545B6">
      <w:pPr>
        <w:pStyle w:val="NormalWeb"/>
        <w:numPr>
          <w:ilvl w:val="0"/>
          <w:numId w:val="10"/>
        </w:numPr>
        <w:rPr>
          <w:rFonts w:eastAsia="Times New Roman"/>
          <w:sz w:val="22"/>
          <w:szCs w:val="22"/>
        </w:rPr>
      </w:pPr>
      <w:r w:rsidRPr="00214FC2">
        <w:rPr>
          <w:b/>
          <w:bCs/>
          <w:sz w:val="22"/>
          <w:szCs w:val="22"/>
          <w:u w:val="single"/>
        </w:rPr>
        <w:t>COVID-19</w:t>
      </w:r>
      <w:r w:rsidR="001969ED" w:rsidRPr="00214FC2">
        <w:rPr>
          <w:sz w:val="22"/>
          <w:szCs w:val="22"/>
        </w:rPr>
        <w:t xml:space="preserve">: </w:t>
      </w:r>
      <w:r w:rsidRPr="00214FC2">
        <w:rPr>
          <w:sz w:val="22"/>
          <w:szCs w:val="22"/>
        </w:rPr>
        <w:t xml:space="preserve">Throughout the past two years, as CoCs responded to the challenges of COVID-19, partnerships were developed between CoCs, homeless service providers, and state and local public health agencies. In the FY 2022 CoC Program Competition, HUD is asking CoCs to demonstrate how they will build on these partnerships to ensure they are prepared to prevent and respond to future infectious disease outbreaks amongst people experiencing homelessness. </w:t>
      </w:r>
    </w:p>
    <w:p w14:paraId="3CAE20EB" w14:textId="5B6F88D2" w:rsidR="002D1143" w:rsidRPr="00214FC2" w:rsidRDefault="001969ED" w:rsidP="00F545B6">
      <w:pPr>
        <w:pStyle w:val="NormalWeb"/>
        <w:numPr>
          <w:ilvl w:val="0"/>
          <w:numId w:val="10"/>
        </w:numPr>
        <w:rPr>
          <w:rFonts w:eastAsia="Times New Roman"/>
          <w:sz w:val="22"/>
          <w:szCs w:val="22"/>
        </w:rPr>
      </w:pPr>
      <w:r w:rsidRPr="00214FC2">
        <w:rPr>
          <w:b/>
          <w:bCs/>
          <w:sz w:val="22"/>
          <w:szCs w:val="22"/>
          <w:u w:val="single"/>
        </w:rPr>
        <w:t>Tier 2 scores:</w:t>
      </w:r>
      <w:r w:rsidRPr="00214FC2">
        <w:rPr>
          <w:sz w:val="22"/>
          <w:szCs w:val="22"/>
        </w:rPr>
        <w:t xml:space="preserve"> </w:t>
      </w:r>
      <w:r w:rsidR="00434366" w:rsidRPr="00214FC2">
        <w:rPr>
          <w:sz w:val="22"/>
          <w:szCs w:val="22"/>
        </w:rPr>
        <w:t>Ambiguous language in the Tier 2 Scoring process described in II.B.11.b.(2) was corrected. The language now states that the calculation for the CoC Project Ranking factor will be 40 times the quantity (1-x) where x is the ratio of the cumulative funding requests for all projects or</w:t>
      </w:r>
      <w:r w:rsidRPr="00214FC2">
        <w:rPr>
          <w:sz w:val="22"/>
          <w:szCs w:val="22"/>
        </w:rPr>
        <w:t xml:space="preserve"> portions of projects ranked higher by the CoC in Tier 2 plus one half of the funding of the project of interest to the total amount of funding available in Tier 2, which matches the examples.</w:t>
      </w:r>
    </w:p>
    <w:p w14:paraId="3C829A59" w14:textId="77777777" w:rsidR="00253E05" w:rsidRPr="00214FC2" w:rsidRDefault="00061D26" w:rsidP="00253E05">
      <w:pPr>
        <w:pStyle w:val="NormalWeb"/>
        <w:numPr>
          <w:ilvl w:val="0"/>
          <w:numId w:val="10"/>
        </w:numPr>
        <w:rPr>
          <w:rFonts w:eastAsia="Times New Roman"/>
          <w:sz w:val="22"/>
          <w:szCs w:val="22"/>
        </w:rPr>
      </w:pPr>
      <w:r w:rsidRPr="00214FC2">
        <w:rPr>
          <w:b/>
          <w:bCs/>
          <w:sz w:val="22"/>
          <w:szCs w:val="22"/>
          <w:u w:val="single"/>
        </w:rPr>
        <w:t>DV Bonus:</w:t>
      </w:r>
      <w:r w:rsidRPr="00214FC2">
        <w:rPr>
          <w:sz w:val="22"/>
          <w:szCs w:val="22"/>
        </w:rPr>
        <w:t xml:space="preserve"> As described in Section II.B.11.e of this NOFO, for new projects DV Bonus, HUD revised the point value distribution based on the CoC Application score and responses to the revised domestic violence bonus specific questions in the project applications. For the FY 2022 CoC Program Competition, HUD added scoring factors based on the responses to questions that demonstrate CoCs’ collaboration with victim service providers in the CoC Application, projects’ plans to include survivors with lived experience in policy and program development and the inclusion of victim-centered practices in operating their projects.</w:t>
      </w:r>
    </w:p>
    <w:p w14:paraId="2AE5644E" w14:textId="77777777" w:rsidR="00253E05" w:rsidRPr="00253E05" w:rsidRDefault="00253E05" w:rsidP="006C5497">
      <w:pPr>
        <w:pStyle w:val="NormalWeb"/>
        <w:ind w:left="720"/>
        <w:rPr>
          <w:rFonts w:eastAsia="Times New Roman"/>
        </w:rPr>
      </w:pPr>
    </w:p>
    <w:p w14:paraId="140827C4" w14:textId="77777777" w:rsidR="009D7C48" w:rsidRDefault="009D7C48" w:rsidP="00253E05">
      <w:pPr>
        <w:pStyle w:val="NormalWeb"/>
        <w:rPr>
          <w:rFonts w:eastAsia="Times New Roman"/>
          <w:b/>
          <w:bCs/>
        </w:rPr>
      </w:pPr>
    </w:p>
    <w:p w14:paraId="11F95A9E" w14:textId="77777777" w:rsidR="009D7C48" w:rsidRDefault="009D7C48" w:rsidP="00253E05">
      <w:pPr>
        <w:pStyle w:val="NormalWeb"/>
        <w:rPr>
          <w:rFonts w:eastAsia="Times New Roman"/>
          <w:b/>
          <w:bCs/>
        </w:rPr>
      </w:pPr>
    </w:p>
    <w:p w14:paraId="4B2E0097" w14:textId="17EA48D9" w:rsidR="005E779D" w:rsidRPr="00244D50" w:rsidRDefault="00253E05" w:rsidP="00253E05">
      <w:pPr>
        <w:pStyle w:val="NormalWeb"/>
        <w:rPr>
          <w:rFonts w:eastAsia="Times New Roman"/>
          <w:b/>
          <w:bCs/>
        </w:rPr>
      </w:pPr>
      <w:r w:rsidRPr="00AC3EA6">
        <w:rPr>
          <w:rFonts w:eastAsia="Times New Roman"/>
          <w:b/>
          <w:bCs/>
        </w:rPr>
        <w:t xml:space="preserve">HUD Policy </w:t>
      </w:r>
      <w:r w:rsidR="005E779D" w:rsidRPr="00AC3EA6">
        <w:rPr>
          <w:rFonts w:eastAsia="Times New Roman"/>
          <w:b/>
          <w:bCs/>
        </w:rPr>
        <w:t>P</w:t>
      </w:r>
      <w:r w:rsidRPr="00AC3EA6">
        <w:rPr>
          <w:rFonts w:eastAsia="Times New Roman"/>
          <w:b/>
          <w:bCs/>
        </w:rPr>
        <w:t xml:space="preserve">riorities &amp; </w:t>
      </w:r>
      <w:r w:rsidR="005E779D" w:rsidRPr="00AC3EA6">
        <w:rPr>
          <w:rFonts w:eastAsia="Times New Roman"/>
          <w:b/>
          <w:bCs/>
        </w:rPr>
        <w:t>P</w:t>
      </w:r>
      <w:r w:rsidRPr="00AC3EA6">
        <w:rPr>
          <w:rFonts w:eastAsia="Times New Roman"/>
          <w:b/>
          <w:bCs/>
        </w:rPr>
        <w:t xml:space="preserve">rogram </w:t>
      </w:r>
      <w:r w:rsidR="005E779D" w:rsidRPr="00AC3EA6">
        <w:rPr>
          <w:rFonts w:eastAsia="Times New Roman"/>
          <w:b/>
          <w:bCs/>
        </w:rPr>
        <w:t>H</w:t>
      </w:r>
      <w:r w:rsidRPr="00AC3EA6">
        <w:rPr>
          <w:rFonts w:eastAsia="Times New Roman"/>
          <w:b/>
          <w:bCs/>
        </w:rPr>
        <w:t>ighlights</w:t>
      </w:r>
    </w:p>
    <w:p w14:paraId="262B182B" w14:textId="79CA78F9" w:rsidR="002917D9" w:rsidRPr="00214FC2" w:rsidRDefault="00CB3612" w:rsidP="002917D9">
      <w:pPr>
        <w:pStyle w:val="NormalWeb"/>
        <w:numPr>
          <w:ilvl w:val="0"/>
          <w:numId w:val="29"/>
        </w:numPr>
        <w:rPr>
          <w:rFonts w:eastAsia="Times New Roman"/>
          <w:sz w:val="22"/>
          <w:szCs w:val="22"/>
        </w:rPr>
      </w:pPr>
      <w:r w:rsidRPr="00214FC2">
        <w:rPr>
          <w:rFonts w:eastAsia="Times New Roman"/>
          <w:b/>
          <w:bCs/>
          <w:i/>
          <w:iCs/>
          <w:sz w:val="22"/>
          <w:szCs w:val="22"/>
        </w:rPr>
        <w:t>Ending Homelessness for All persons</w:t>
      </w:r>
      <w:r w:rsidR="004A687A" w:rsidRPr="00214FC2">
        <w:rPr>
          <w:rFonts w:eastAsia="Times New Roman"/>
          <w:b/>
          <w:bCs/>
          <w:i/>
          <w:iCs/>
          <w:sz w:val="22"/>
          <w:szCs w:val="22"/>
        </w:rPr>
        <w:t>.</w:t>
      </w:r>
      <w:r w:rsidRPr="00214FC2">
        <w:rPr>
          <w:rFonts w:eastAsia="Times New Roman"/>
          <w:sz w:val="22"/>
          <w:szCs w:val="22"/>
        </w:rPr>
        <w:t xml:space="preserve"> </w:t>
      </w:r>
      <w:r w:rsidR="00CF4BFC" w:rsidRPr="00214FC2">
        <w:rPr>
          <w:sz w:val="22"/>
          <w:szCs w:val="22"/>
        </w:rPr>
        <w:t>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those experiencing chronic homelessness, and people with disabilities, including those living with HIV/AIDS).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w:t>
      </w:r>
    </w:p>
    <w:p w14:paraId="752B7DBE" w14:textId="4A4A966D" w:rsidR="002917D9" w:rsidRPr="00214FC2" w:rsidRDefault="002917D9" w:rsidP="002917D9">
      <w:pPr>
        <w:pStyle w:val="NormalWeb"/>
        <w:numPr>
          <w:ilvl w:val="0"/>
          <w:numId w:val="29"/>
        </w:numPr>
        <w:rPr>
          <w:rStyle w:val="Emphasis"/>
          <w:rFonts w:eastAsia="Times New Roman"/>
          <w:i w:val="0"/>
          <w:iCs w:val="0"/>
          <w:sz w:val="22"/>
          <w:szCs w:val="22"/>
        </w:rPr>
      </w:pPr>
      <w:r w:rsidRPr="00214FC2">
        <w:rPr>
          <w:rStyle w:val="Emphasis"/>
          <w:rFonts w:eastAsia="Times New Roman"/>
          <w:b/>
          <w:bCs/>
          <w:sz w:val="22"/>
          <w:szCs w:val="22"/>
        </w:rPr>
        <w:t xml:space="preserve">Using a </w:t>
      </w:r>
      <w:r w:rsidR="009B77F1" w:rsidRPr="00214FC2">
        <w:rPr>
          <w:rStyle w:val="Emphasis"/>
          <w:rFonts w:eastAsia="Times New Roman"/>
          <w:b/>
          <w:bCs/>
          <w:sz w:val="22"/>
          <w:szCs w:val="22"/>
        </w:rPr>
        <w:t>Housing First</w:t>
      </w:r>
      <w:r w:rsidRPr="00214FC2">
        <w:rPr>
          <w:rStyle w:val="Emphasis"/>
          <w:rFonts w:eastAsia="Times New Roman"/>
          <w:b/>
          <w:bCs/>
          <w:sz w:val="22"/>
          <w:szCs w:val="22"/>
        </w:rPr>
        <w:t xml:space="preserve"> Approach</w:t>
      </w:r>
      <w:r w:rsidR="004A687A" w:rsidRPr="00214FC2">
        <w:rPr>
          <w:rStyle w:val="Emphasis"/>
          <w:rFonts w:eastAsia="Times New Roman"/>
          <w:b/>
          <w:bCs/>
          <w:sz w:val="22"/>
          <w:szCs w:val="22"/>
        </w:rPr>
        <w:t xml:space="preserve">. </w:t>
      </w:r>
      <w:r w:rsidR="001E7003" w:rsidRPr="00214FC2">
        <w:rPr>
          <w:rStyle w:val="Emphasis"/>
          <w:rFonts w:eastAsia="Times New Roman"/>
          <w:i w:val="0"/>
          <w:iCs w:val="0"/>
          <w:sz w:val="22"/>
          <w:szCs w:val="22"/>
        </w:rPr>
        <w:t>Using the Housing First model to prioritize rapid placement and stabilization in permanent housing without service participation requirements or preconditions</w:t>
      </w:r>
      <w:r w:rsidR="00FD2E57" w:rsidRPr="00214FC2">
        <w:rPr>
          <w:rStyle w:val="Emphasis"/>
          <w:rFonts w:eastAsia="Times New Roman"/>
          <w:i w:val="0"/>
          <w:iCs w:val="0"/>
          <w:sz w:val="22"/>
          <w:szCs w:val="22"/>
        </w:rPr>
        <w:t>.</w:t>
      </w:r>
    </w:p>
    <w:p w14:paraId="1BCE0BE3" w14:textId="68358145" w:rsidR="002917D9" w:rsidRPr="00214FC2" w:rsidRDefault="00866DB4" w:rsidP="002917D9">
      <w:pPr>
        <w:pStyle w:val="NormalWeb"/>
        <w:numPr>
          <w:ilvl w:val="0"/>
          <w:numId w:val="29"/>
        </w:numPr>
        <w:rPr>
          <w:rFonts w:eastAsia="Times New Roman"/>
          <w:sz w:val="22"/>
          <w:szCs w:val="22"/>
        </w:rPr>
      </w:pPr>
      <w:r w:rsidRPr="00214FC2">
        <w:rPr>
          <w:b/>
          <w:bCs/>
          <w:i/>
          <w:iCs/>
          <w:sz w:val="22"/>
          <w:szCs w:val="22"/>
        </w:rPr>
        <w:t>Reducing Unsheltered Homelessness</w:t>
      </w:r>
      <w:r w:rsidR="004A687A" w:rsidRPr="00214FC2">
        <w:rPr>
          <w:b/>
          <w:bCs/>
          <w:i/>
          <w:iCs/>
          <w:sz w:val="22"/>
          <w:szCs w:val="22"/>
        </w:rPr>
        <w:t>.</w:t>
      </w:r>
      <w:r w:rsidRPr="00214FC2">
        <w:rPr>
          <w:i/>
          <w:iCs/>
          <w:sz w:val="22"/>
          <w:szCs w:val="22"/>
        </w:rPr>
        <w:t xml:space="preserve"> </w:t>
      </w:r>
      <w:r w:rsidRPr="00214FC2">
        <w:rPr>
          <w:sz w:val="22"/>
          <w:szCs w:val="22"/>
        </w:rPr>
        <w:t>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explore all available resources, including CoC and ESG funded assistance, housing subsidies, and supportive services to provide permanent housing options for people who are unsheltered.</w:t>
      </w:r>
    </w:p>
    <w:p w14:paraId="3E24B6DA" w14:textId="1F57EB43" w:rsidR="00866DB4" w:rsidRPr="00214FC2" w:rsidRDefault="00C323DE" w:rsidP="002917D9">
      <w:pPr>
        <w:pStyle w:val="NormalWeb"/>
        <w:numPr>
          <w:ilvl w:val="0"/>
          <w:numId w:val="29"/>
        </w:numPr>
        <w:rPr>
          <w:rFonts w:eastAsia="Times New Roman"/>
          <w:sz w:val="22"/>
          <w:szCs w:val="22"/>
        </w:rPr>
      </w:pPr>
      <w:r w:rsidRPr="00214FC2">
        <w:rPr>
          <w:b/>
          <w:bCs/>
          <w:i/>
          <w:iCs/>
          <w:sz w:val="22"/>
          <w:szCs w:val="22"/>
        </w:rPr>
        <w:t>Improving System Performance.</w:t>
      </w:r>
      <w:r w:rsidRPr="00214FC2">
        <w:rPr>
          <w:i/>
          <w:iCs/>
          <w:sz w:val="22"/>
          <w:szCs w:val="22"/>
        </w:rPr>
        <w:t xml:space="preserve"> </w:t>
      </w:r>
      <w:r w:rsidRPr="00214FC2">
        <w:rPr>
          <w:sz w:val="22"/>
          <w:szCs w:val="22"/>
        </w:rPr>
        <w:t>CoCs should be using system performance measures (e.g., average length of homeless episodes, rates of return to homelessness, rates of exit to permanent</w:t>
      </w:r>
      <w:r w:rsidR="00B57A17" w:rsidRPr="00214FC2">
        <w:rPr>
          <w:sz w:val="22"/>
          <w:szCs w:val="22"/>
        </w:rPr>
        <w:t xml:space="preserve">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w:t>
      </w:r>
    </w:p>
    <w:p w14:paraId="0AE92A02" w14:textId="11D9B65B" w:rsidR="00B57A17" w:rsidRPr="00214FC2" w:rsidRDefault="00AF6175" w:rsidP="002917D9">
      <w:pPr>
        <w:pStyle w:val="NormalWeb"/>
        <w:numPr>
          <w:ilvl w:val="0"/>
          <w:numId w:val="29"/>
        </w:numPr>
        <w:rPr>
          <w:rFonts w:eastAsia="Times New Roman"/>
          <w:sz w:val="22"/>
          <w:szCs w:val="22"/>
        </w:rPr>
      </w:pPr>
      <w:r w:rsidRPr="00214FC2">
        <w:rPr>
          <w:b/>
          <w:bCs/>
          <w:i/>
          <w:iCs/>
          <w:sz w:val="22"/>
          <w:szCs w:val="22"/>
        </w:rPr>
        <w:t>Partnering with Housing, Health, and Service Agencies</w:t>
      </w:r>
      <w:r w:rsidR="004A687A" w:rsidRPr="00214FC2">
        <w:rPr>
          <w:b/>
          <w:bCs/>
          <w:i/>
          <w:iCs/>
          <w:sz w:val="22"/>
          <w:szCs w:val="22"/>
        </w:rPr>
        <w:t>.</w:t>
      </w:r>
      <w:r w:rsidRPr="00214FC2">
        <w:rPr>
          <w:i/>
          <w:iCs/>
          <w:sz w:val="22"/>
          <w:szCs w:val="22"/>
        </w:rPr>
        <w:t xml:space="preserve"> </w:t>
      </w:r>
      <w:r w:rsidRPr="00214FC2">
        <w:rPr>
          <w:sz w:val="22"/>
          <w:szCs w:val="22"/>
        </w:rPr>
        <w:t>Using cost performance and outcome data, CoCs should improve how all available resources are utilized to end homelessness. This is especially important as the CARES Act and American Rescue Plan have provided significant new resources to help end homelessness. HUD encourages CoCs to maximize the use of mainstream and other community-based resources when serving persons experiencing homelessness.</w:t>
      </w:r>
    </w:p>
    <w:p w14:paraId="364FA1F4" w14:textId="5BDFB557" w:rsidR="00AF6175" w:rsidRPr="00214FC2" w:rsidRDefault="00C05600" w:rsidP="002917D9">
      <w:pPr>
        <w:pStyle w:val="NormalWeb"/>
        <w:numPr>
          <w:ilvl w:val="0"/>
          <w:numId w:val="29"/>
        </w:numPr>
        <w:rPr>
          <w:rFonts w:eastAsia="Times New Roman"/>
          <w:sz w:val="22"/>
          <w:szCs w:val="22"/>
        </w:rPr>
      </w:pPr>
      <w:r w:rsidRPr="00214FC2">
        <w:rPr>
          <w:b/>
          <w:bCs/>
          <w:i/>
          <w:iCs/>
          <w:sz w:val="22"/>
          <w:szCs w:val="22"/>
        </w:rPr>
        <w:t>Racial Equity</w:t>
      </w:r>
      <w:r w:rsidR="004A687A" w:rsidRPr="00214FC2">
        <w:rPr>
          <w:b/>
          <w:bCs/>
          <w:i/>
          <w:iCs/>
          <w:sz w:val="22"/>
          <w:szCs w:val="22"/>
        </w:rPr>
        <w:t>.</w:t>
      </w:r>
      <w:r w:rsidRPr="00214FC2">
        <w:rPr>
          <w:i/>
          <w:iCs/>
          <w:sz w:val="22"/>
          <w:szCs w:val="22"/>
        </w:rPr>
        <w:t xml:space="preserve"> </w:t>
      </w:r>
      <w:r w:rsidRPr="00214FC2">
        <w:rPr>
          <w:sz w:val="22"/>
          <w:szCs w:val="22"/>
        </w:rPr>
        <w:t>In nearly every community, Black, Indigenous, and other people of color are substantially overrepresented in the homeless population. HUD is emphasizing system and program changes to address racial equity within CoCs. Responses to preventing and ending homelessness should address racial inequities to ensure successful outcomes for all persons experiencing homelessness using proven approaches, such as: developing a coordin</w:t>
      </w:r>
      <w:r w:rsidR="005241F3" w:rsidRPr="00214FC2">
        <w:rPr>
          <w:sz w:val="22"/>
          <w:szCs w:val="22"/>
        </w:rPr>
        <w:t>ated community response created in partnership with a racially diverse set of stakeholders and people experiencing homelessness and partnering with organizations with experience serving underserved populations.</w:t>
      </w:r>
    </w:p>
    <w:p w14:paraId="1FAE986E" w14:textId="0F7069F6" w:rsidR="00731514" w:rsidRPr="00214FC2" w:rsidRDefault="00731514" w:rsidP="002917D9">
      <w:pPr>
        <w:pStyle w:val="NormalWeb"/>
        <w:numPr>
          <w:ilvl w:val="0"/>
          <w:numId w:val="29"/>
        </w:numPr>
        <w:rPr>
          <w:rFonts w:eastAsia="Times New Roman"/>
          <w:sz w:val="22"/>
          <w:szCs w:val="22"/>
        </w:rPr>
      </w:pPr>
      <w:r w:rsidRPr="00214FC2">
        <w:rPr>
          <w:b/>
          <w:bCs/>
          <w:i/>
          <w:iCs/>
          <w:sz w:val="22"/>
          <w:szCs w:val="22"/>
        </w:rPr>
        <w:lastRenderedPageBreak/>
        <w:t xml:space="preserve">Improving Assistance to LGBTQ+ Individuals. </w:t>
      </w:r>
      <w:r w:rsidRPr="00214FC2">
        <w:rPr>
          <w:sz w:val="22"/>
          <w:szCs w:val="22"/>
        </w:rPr>
        <w:t>Discrimination on the basis of gender identity or sexual orientation manifests differently for different individuals and often overlaps with other forms of prohibited discrimination. CoCs should address the needs of LGBTQ+, transgender, gender non-conforming, and non-binary individuals and families in their planning processes.</w:t>
      </w:r>
    </w:p>
    <w:p w14:paraId="3F5C82B1" w14:textId="49832BF8" w:rsidR="002E1BF0" w:rsidRPr="00214FC2" w:rsidRDefault="000C3AB2" w:rsidP="00A9389A">
      <w:pPr>
        <w:pStyle w:val="NormalWeb"/>
        <w:numPr>
          <w:ilvl w:val="0"/>
          <w:numId w:val="29"/>
        </w:numPr>
        <w:rPr>
          <w:rStyle w:val="Emphasis"/>
          <w:rFonts w:eastAsia="Times New Roman"/>
          <w:i w:val="0"/>
          <w:iCs w:val="0"/>
          <w:sz w:val="22"/>
          <w:szCs w:val="22"/>
        </w:rPr>
      </w:pPr>
      <w:r w:rsidRPr="00214FC2">
        <w:rPr>
          <w:b/>
          <w:bCs/>
          <w:i/>
          <w:iCs/>
          <w:sz w:val="22"/>
          <w:szCs w:val="22"/>
        </w:rPr>
        <w:t>Persons with Lived Experience.</w:t>
      </w:r>
      <w:r w:rsidRPr="00214FC2">
        <w:rPr>
          <w:i/>
          <w:iCs/>
          <w:sz w:val="22"/>
          <w:szCs w:val="22"/>
        </w:rPr>
        <w:t xml:space="preserve"> </w:t>
      </w:r>
      <w:r w:rsidRPr="00214FC2">
        <w:rPr>
          <w:sz w:val="22"/>
          <w:szCs w:val="22"/>
        </w:rPr>
        <w:t>HUD is encouraging CoCs to include in the local planning process people who are currently experiencing or have formerly experienced homelessness. People with lived experience should determine how local policies may need to be revised and updated to improve the effectiveness of homelessness assistance programs, including participating in planning and oversight activities and developing local competition processes.</w:t>
      </w:r>
    </w:p>
    <w:p w14:paraId="3EAFB803" w14:textId="24923F53" w:rsidR="002E1BF0" w:rsidRPr="00214FC2" w:rsidRDefault="002E1BF0" w:rsidP="00412FCE">
      <w:pPr>
        <w:pStyle w:val="ListParagraph"/>
        <w:numPr>
          <w:ilvl w:val="0"/>
          <w:numId w:val="10"/>
        </w:numPr>
        <w:spacing w:before="100" w:beforeAutospacing="1" w:after="100" w:afterAutospacing="1" w:line="240" w:lineRule="auto"/>
        <w:rPr>
          <w:rStyle w:val="Emphasis"/>
          <w:rFonts w:ascii="Times New Roman" w:eastAsia="Times New Roman" w:hAnsi="Times New Roman" w:cs="Times New Roman"/>
          <w:i w:val="0"/>
          <w:iCs w:val="0"/>
        </w:rPr>
      </w:pPr>
      <w:r w:rsidRPr="00214FC2">
        <w:rPr>
          <w:rFonts w:ascii="Times New Roman" w:hAnsi="Times New Roman" w:cs="Times New Roman"/>
          <w:b/>
          <w:bCs/>
          <w:i/>
          <w:iCs/>
        </w:rPr>
        <w:t>Increasing Affordable Housing Supply</w:t>
      </w:r>
      <w:r w:rsidRPr="00214FC2">
        <w:rPr>
          <w:rFonts w:ascii="Times New Roman" w:hAnsi="Times New Roman" w:cs="Times New Roman"/>
          <w:i/>
          <w:iCs/>
        </w:rPr>
        <w:t xml:space="preserve">. </w:t>
      </w:r>
      <w:r w:rsidRPr="00214FC2">
        <w:rPr>
          <w:rFonts w:ascii="Times New Roman" w:hAnsi="Times New Roman" w:cs="Times New Roman"/>
        </w:rPr>
        <w:t>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CoC NOFO awards points to CoCs that take steps to engage local leaders about increasing affordable housing supply.</w:t>
      </w:r>
    </w:p>
    <w:p w14:paraId="50744FF3" w14:textId="77777777" w:rsidR="002E1BF0" w:rsidRPr="00412FCE" w:rsidRDefault="002E1BF0" w:rsidP="00A9389A">
      <w:pPr>
        <w:pStyle w:val="ListParagraph"/>
        <w:spacing w:before="100" w:beforeAutospacing="1" w:after="100" w:afterAutospacing="1" w:line="240" w:lineRule="auto"/>
        <w:rPr>
          <w:rStyle w:val="Emphasis"/>
          <w:rFonts w:ascii="Times New Roman" w:eastAsia="Times New Roman" w:hAnsi="Times New Roman" w:cs="Times New Roman"/>
          <w:i w:val="0"/>
          <w:iCs w:val="0"/>
        </w:rPr>
      </w:pPr>
    </w:p>
    <w:p w14:paraId="3068BE00" w14:textId="1362D771" w:rsidR="001F2BF7" w:rsidRPr="004B2F39" w:rsidRDefault="008A579D" w:rsidP="004B2F39">
      <w:pPr>
        <w:pStyle w:val="ListParagraph"/>
        <w:spacing w:before="100" w:beforeAutospacing="1" w:after="100" w:afterAutospacing="1" w:line="240" w:lineRule="auto"/>
        <w:rPr>
          <w:rFonts w:ascii="Times New Roman" w:eastAsia="Times New Roman" w:hAnsi="Times New Roman" w:cs="Times New Roman"/>
        </w:rPr>
      </w:pPr>
      <w:r w:rsidRPr="00D50E40">
        <w:rPr>
          <w:rFonts w:ascii="Times New Roman" w:eastAsia="Times New Roman" w:hAnsi="Times New Roman" w:cs="Times New Roman"/>
        </w:rPr>
        <w:t> </w:t>
      </w:r>
    </w:p>
    <w:p w14:paraId="5E922451" w14:textId="2A8D599A" w:rsidR="001F2BF7" w:rsidRPr="004023AC" w:rsidRDefault="001F2BF7" w:rsidP="001F2BF7">
      <w:pPr>
        <w:rPr>
          <w:rFonts w:ascii="Times New Roman" w:hAnsi="Times New Roman" w:cs="Times New Roman"/>
          <w:b/>
          <w:bCs/>
        </w:rPr>
      </w:pPr>
      <w:r w:rsidRPr="004023AC">
        <w:rPr>
          <w:rFonts w:ascii="Times New Roman" w:hAnsi="Times New Roman" w:cs="Times New Roman"/>
          <w:b/>
          <w:bCs/>
          <w:u w:val="single"/>
        </w:rPr>
        <w:t>Important information to consider when preparing for the FY202</w:t>
      </w:r>
      <w:r w:rsidR="009114C2">
        <w:rPr>
          <w:rFonts w:ascii="Times New Roman" w:hAnsi="Times New Roman" w:cs="Times New Roman"/>
          <w:b/>
          <w:bCs/>
          <w:u w:val="single"/>
        </w:rPr>
        <w:t>2</w:t>
      </w:r>
      <w:r w:rsidRPr="004023AC">
        <w:rPr>
          <w:rFonts w:ascii="Times New Roman" w:hAnsi="Times New Roman" w:cs="Times New Roman"/>
          <w:b/>
          <w:bCs/>
          <w:u w:val="single"/>
        </w:rPr>
        <w:t xml:space="preserve"> NOFO: </w:t>
      </w:r>
    </w:p>
    <w:p w14:paraId="27882619" w14:textId="77777777" w:rsidR="001F2BF7" w:rsidRPr="004B2F39" w:rsidRDefault="001F2BF7" w:rsidP="001F2BF7">
      <w:pPr>
        <w:pStyle w:val="ListParagraph"/>
        <w:numPr>
          <w:ilvl w:val="0"/>
          <w:numId w:val="17"/>
        </w:numPr>
        <w:rPr>
          <w:rFonts w:ascii="Times New Roman" w:hAnsi="Times New Roman" w:cs="Times New Roman"/>
          <w:b/>
          <w:bCs/>
        </w:rPr>
      </w:pPr>
      <w:r w:rsidRPr="004B2F39">
        <w:rPr>
          <w:rFonts w:ascii="Times New Roman" w:hAnsi="Times New Roman" w:cs="Times New Roman"/>
          <w:b/>
          <w:bCs/>
        </w:rPr>
        <w:t>Performance based decisions</w:t>
      </w:r>
    </w:p>
    <w:p w14:paraId="2D2A4B6D" w14:textId="7E55B92D" w:rsidR="001F2BF7" w:rsidRDefault="0033605A" w:rsidP="001F2BF7">
      <w:pPr>
        <w:pStyle w:val="ListParagraph"/>
        <w:numPr>
          <w:ilvl w:val="1"/>
          <w:numId w:val="17"/>
        </w:numPr>
        <w:rPr>
          <w:rFonts w:ascii="Times New Roman" w:hAnsi="Times New Roman" w:cs="Times New Roman"/>
        </w:rPr>
      </w:pPr>
      <w:r>
        <w:rPr>
          <w:rFonts w:ascii="Times New Roman" w:hAnsi="Times New Roman" w:cs="Times New Roman"/>
        </w:rPr>
        <w:t>N</w:t>
      </w:r>
      <w:r w:rsidR="001F2BF7">
        <w:rPr>
          <w:rFonts w:ascii="Times New Roman" w:hAnsi="Times New Roman" w:cs="Times New Roman"/>
        </w:rPr>
        <w:t>ew project applications are not allowed unless through reallocation unless the CoC evaluates &amp; compet</w:t>
      </w:r>
      <w:r>
        <w:rPr>
          <w:rFonts w:ascii="Times New Roman" w:hAnsi="Times New Roman" w:cs="Times New Roman"/>
        </w:rPr>
        <w:t>i</w:t>
      </w:r>
      <w:r w:rsidR="00B15835">
        <w:rPr>
          <w:rFonts w:ascii="Times New Roman" w:hAnsi="Times New Roman" w:cs="Times New Roman"/>
        </w:rPr>
        <w:t>vely</w:t>
      </w:r>
      <w:r w:rsidR="001F2BF7">
        <w:rPr>
          <w:rFonts w:ascii="Times New Roman" w:hAnsi="Times New Roman" w:cs="Times New Roman"/>
        </w:rPr>
        <w:t xml:space="preserve"> ranks projects based on how they improve system performance</w:t>
      </w:r>
    </w:p>
    <w:p w14:paraId="4A9C4CDE" w14:textId="77777777" w:rsidR="001F2BF7" w:rsidRDefault="001F2BF7" w:rsidP="001F2BF7">
      <w:pPr>
        <w:pStyle w:val="ListParagraph"/>
        <w:numPr>
          <w:ilvl w:val="1"/>
          <w:numId w:val="17"/>
        </w:numPr>
        <w:rPr>
          <w:rFonts w:ascii="Times New Roman" w:hAnsi="Times New Roman" w:cs="Times New Roman"/>
        </w:rPr>
      </w:pPr>
      <w:r>
        <w:rPr>
          <w:rFonts w:ascii="Times New Roman" w:hAnsi="Times New Roman" w:cs="Times New Roman"/>
        </w:rPr>
        <w:t>HUD will prioritize funding for CoC’s that have demonstrated the capacity to reallocate funding from lower to higher performing projects</w:t>
      </w:r>
    </w:p>
    <w:p w14:paraId="693DCA4C" w14:textId="77777777" w:rsidR="001F2BF7" w:rsidRPr="004B2F39" w:rsidRDefault="001F2BF7" w:rsidP="001F2BF7">
      <w:pPr>
        <w:pStyle w:val="ListParagraph"/>
        <w:numPr>
          <w:ilvl w:val="0"/>
          <w:numId w:val="17"/>
        </w:numPr>
        <w:rPr>
          <w:rFonts w:ascii="Times New Roman" w:hAnsi="Times New Roman" w:cs="Times New Roman"/>
          <w:b/>
          <w:bCs/>
        </w:rPr>
      </w:pPr>
      <w:r w:rsidRPr="004B2F39">
        <w:rPr>
          <w:rFonts w:ascii="Times New Roman" w:hAnsi="Times New Roman" w:cs="Times New Roman"/>
          <w:b/>
          <w:bCs/>
        </w:rPr>
        <w:t>Indian tribe, or Tribally Designated Housing Entities (TDHE’s) may be:</w:t>
      </w:r>
    </w:p>
    <w:p w14:paraId="0286A3CC" w14:textId="77777777" w:rsidR="001F2BF7" w:rsidRDefault="001F2BF7" w:rsidP="001F2BF7">
      <w:pPr>
        <w:pStyle w:val="ListParagraph"/>
        <w:numPr>
          <w:ilvl w:val="1"/>
          <w:numId w:val="17"/>
        </w:numPr>
        <w:rPr>
          <w:rFonts w:ascii="Times New Roman" w:hAnsi="Times New Roman" w:cs="Times New Roman"/>
        </w:rPr>
      </w:pPr>
      <w:r>
        <w:rPr>
          <w:rFonts w:ascii="Times New Roman" w:hAnsi="Times New Roman" w:cs="Times New Roman"/>
        </w:rPr>
        <w:t>A Collaborative Applicant</w:t>
      </w:r>
    </w:p>
    <w:p w14:paraId="024688F4" w14:textId="77777777" w:rsidR="001F2BF7" w:rsidRDefault="001F2BF7" w:rsidP="001F2BF7">
      <w:pPr>
        <w:pStyle w:val="ListParagraph"/>
        <w:numPr>
          <w:ilvl w:val="1"/>
          <w:numId w:val="17"/>
        </w:numPr>
        <w:rPr>
          <w:rFonts w:ascii="Times New Roman" w:hAnsi="Times New Roman" w:cs="Times New Roman"/>
        </w:rPr>
      </w:pPr>
      <w:r>
        <w:rPr>
          <w:rFonts w:ascii="Times New Roman" w:hAnsi="Times New Roman" w:cs="Times New Roman"/>
        </w:rPr>
        <w:t>Receive grant amounts from another entity that receives a grant directly from HUD</w:t>
      </w:r>
    </w:p>
    <w:p w14:paraId="61D5312E" w14:textId="77777777" w:rsidR="00B90AF6" w:rsidRPr="00B90AF6" w:rsidRDefault="001F2BF7" w:rsidP="00B90AF6">
      <w:pPr>
        <w:pStyle w:val="ListParagraph"/>
        <w:numPr>
          <w:ilvl w:val="0"/>
          <w:numId w:val="2"/>
        </w:numPr>
        <w:rPr>
          <w:rFonts w:ascii="Times New Roman" w:hAnsi="Times New Roman" w:cs="Times New Roman"/>
          <w:b/>
          <w:bCs/>
        </w:rPr>
      </w:pPr>
      <w:r w:rsidRPr="004B2F39">
        <w:rPr>
          <w:rFonts w:ascii="Times New Roman" w:hAnsi="Times New Roman" w:cs="Times New Roman"/>
          <w:b/>
          <w:bCs/>
        </w:rPr>
        <w:t>Transition grants</w:t>
      </w:r>
      <w:r>
        <w:rPr>
          <w:rFonts w:ascii="Times New Roman" w:hAnsi="Times New Roman" w:cs="Times New Roman"/>
        </w:rPr>
        <w:t xml:space="preserve"> </w:t>
      </w:r>
      <w:r w:rsidR="00273422">
        <w:rPr>
          <w:rFonts w:ascii="Times New Roman" w:hAnsi="Times New Roman" w:cs="Times New Roman"/>
        </w:rPr>
        <w:t xml:space="preserve">- A grant to fund a new project to transition an eligible renewal project being eliminated through reallocation from one program component to another eligible new component over a 1-year period. </w:t>
      </w:r>
    </w:p>
    <w:p w14:paraId="0F10AB96" w14:textId="36B75B98" w:rsidR="001B09CD" w:rsidRPr="00CD4BEB" w:rsidRDefault="001F2BF7" w:rsidP="00CD4BEB">
      <w:pPr>
        <w:pStyle w:val="ListParagraph"/>
        <w:numPr>
          <w:ilvl w:val="0"/>
          <w:numId w:val="2"/>
        </w:numPr>
        <w:rPr>
          <w:rFonts w:ascii="Times New Roman" w:hAnsi="Times New Roman" w:cs="Times New Roman"/>
          <w:b/>
          <w:bCs/>
        </w:rPr>
      </w:pPr>
      <w:r w:rsidRPr="004B2F39">
        <w:rPr>
          <w:rFonts w:ascii="Times New Roman" w:hAnsi="Times New Roman" w:cs="Times New Roman"/>
          <w:b/>
          <w:bCs/>
        </w:rPr>
        <w:t xml:space="preserve">Coordination with Housing &amp; Healthcare </w:t>
      </w:r>
      <w:r w:rsidR="00CD4BEB">
        <w:rPr>
          <w:rFonts w:ascii="Times New Roman" w:hAnsi="Times New Roman" w:cs="Times New Roman"/>
          <w:b/>
          <w:bCs/>
        </w:rPr>
        <w:t xml:space="preserve">- </w:t>
      </w:r>
      <w:r w:rsidR="001B09CD" w:rsidRPr="00CD4BEB">
        <w:rPr>
          <w:rFonts w:ascii="Times New Roman" w:hAnsi="Times New Roman" w:cs="Times New Roman"/>
        </w:rPr>
        <w:t>14</w:t>
      </w:r>
      <w:r w:rsidRPr="00CD4BEB">
        <w:rPr>
          <w:rFonts w:ascii="Times New Roman" w:hAnsi="Times New Roman" w:cs="Times New Roman"/>
        </w:rPr>
        <w:t xml:space="preserve"> points if Priority List includes new PA’s through reallocation or bonus that utilize housing vouchers and healthcare provided through an array of healthcare service providers</w:t>
      </w:r>
      <w:r w:rsidR="001B09CD" w:rsidRPr="00CD4BEB">
        <w:rPr>
          <w:rFonts w:ascii="Times New Roman" w:hAnsi="Times New Roman" w:cs="Times New Roman"/>
        </w:rPr>
        <w:t>.</w:t>
      </w:r>
    </w:p>
    <w:p w14:paraId="42F73AE2" w14:textId="72AA5883" w:rsidR="001F2BF7" w:rsidRPr="001B09CD" w:rsidRDefault="001F2BF7" w:rsidP="001B09CD">
      <w:pPr>
        <w:pStyle w:val="ListParagraph"/>
        <w:numPr>
          <w:ilvl w:val="0"/>
          <w:numId w:val="17"/>
        </w:numPr>
        <w:rPr>
          <w:rFonts w:ascii="Times New Roman" w:hAnsi="Times New Roman" w:cs="Times New Roman"/>
        </w:rPr>
      </w:pPr>
      <w:r w:rsidRPr="001B09CD">
        <w:rPr>
          <w:rFonts w:ascii="Times New Roman" w:hAnsi="Times New Roman" w:cs="Times New Roman"/>
          <w:b/>
          <w:bCs/>
        </w:rPr>
        <w:t>Domestic Violence Bonus</w:t>
      </w:r>
      <w:r w:rsidRPr="001B09CD">
        <w:rPr>
          <w:rFonts w:ascii="Times New Roman" w:hAnsi="Times New Roman" w:cs="Times New Roman"/>
        </w:rPr>
        <w:t xml:space="preserve"> </w:t>
      </w:r>
      <w:r w:rsidR="00CD4BEB">
        <w:rPr>
          <w:rFonts w:ascii="Times New Roman" w:hAnsi="Times New Roman" w:cs="Times New Roman"/>
        </w:rPr>
        <w:t xml:space="preserve"> - $52 million dollars in </w:t>
      </w:r>
      <w:r w:rsidRPr="001B09CD">
        <w:rPr>
          <w:rFonts w:ascii="Times New Roman" w:hAnsi="Times New Roman" w:cs="Times New Roman"/>
        </w:rPr>
        <w:t xml:space="preserve">funds available for </w:t>
      </w:r>
      <w:r w:rsidR="00F21736">
        <w:rPr>
          <w:rFonts w:ascii="Times New Roman" w:hAnsi="Times New Roman" w:cs="Times New Roman"/>
        </w:rPr>
        <w:t xml:space="preserve">rapid re-housing projects and supportive service projects providing Coordinated Entry in the </w:t>
      </w:r>
      <w:r w:rsidRPr="001B09CD">
        <w:rPr>
          <w:rFonts w:ascii="Times New Roman" w:hAnsi="Times New Roman" w:cs="Times New Roman"/>
        </w:rPr>
        <w:t>202</w:t>
      </w:r>
      <w:r w:rsidR="009114C2" w:rsidRPr="001B09CD">
        <w:rPr>
          <w:rFonts w:ascii="Times New Roman" w:hAnsi="Times New Roman" w:cs="Times New Roman"/>
        </w:rPr>
        <w:t>2</w:t>
      </w:r>
      <w:r w:rsidRPr="001B09CD">
        <w:rPr>
          <w:rFonts w:ascii="Times New Roman" w:hAnsi="Times New Roman" w:cs="Times New Roman"/>
        </w:rPr>
        <w:t xml:space="preserve"> NOFO</w:t>
      </w:r>
    </w:p>
    <w:p w14:paraId="660A3EA1" w14:textId="4A995CEC" w:rsidR="00D54665" w:rsidRDefault="00D54665"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Consolidation project</w:t>
      </w:r>
      <w:r>
        <w:rPr>
          <w:rFonts w:ascii="Times New Roman" w:hAnsi="Times New Roman" w:cs="Times New Roman"/>
        </w:rPr>
        <w:t xml:space="preserve"> </w:t>
      </w:r>
      <w:r w:rsidR="008B4580">
        <w:rPr>
          <w:rFonts w:ascii="Times New Roman" w:hAnsi="Times New Roman" w:cs="Times New Roman"/>
        </w:rPr>
        <w:t>–</w:t>
      </w:r>
      <w:r>
        <w:rPr>
          <w:rFonts w:ascii="Times New Roman" w:hAnsi="Times New Roman" w:cs="Times New Roman"/>
        </w:rPr>
        <w:t xml:space="preserve"> </w:t>
      </w:r>
      <w:r w:rsidR="008B4580">
        <w:rPr>
          <w:rFonts w:ascii="Times New Roman" w:hAnsi="Times New Roman" w:cs="Times New Roman"/>
        </w:rPr>
        <w:t xml:space="preserve">Project Applicants can consolidate two, but not more than ten eligible renewal projects </w:t>
      </w:r>
      <w:r w:rsidR="00E10EAF">
        <w:rPr>
          <w:rFonts w:ascii="Times New Roman" w:hAnsi="Times New Roman" w:cs="Times New Roman"/>
        </w:rPr>
        <w:t>during the application process (see section V.B.4.a</w:t>
      </w:r>
      <w:r w:rsidR="00521B1B">
        <w:rPr>
          <w:rFonts w:ascii="Times New Roman" w:hAnsi="Times New Roman" w:cs="Times New Roman"/>
        </w:rPr>
        <w:t>.</w:t>
      </w:r>
      <w:r w:rsidR="00E10EAF">
        <w:rPr>
          <w:rFonts w:ascii="Times New Roman" w:hAnsi="Times New Roman" w:cs="Times New Roman"/>
        </w:rPr>
        <w:t xml:space="preserve"> (7)</w:t>
      </w:r>
      <w:r w:rsidR="00521B1B">
        <w:rPr>
          <w:rFonts w:ascii="Times New Roman" w:hAnsi="Times New Roman" w:cs="Times New Roman"/>
        </w:rPr>
        <w:t xml:space="preserve"> of the NOFO)</w:t>
      </w:r>
    </w:p>
    <w:p w14:paraId="788EA06C" w14:textId="1C47CDF9" w:rsidR="00FA0711" w:rsidRDefault="00FA0711" w:rsidP="001F2BF7">
      <w:pPr>
        <w:pStyle w:val="ListParagraph"/>
        <w:numPr>
          <w:ilvl w:val="0"/>
          <w:numId w:val="17"/>
        </w:numPr>
        <w:rPr>
          <w:rFonts w:ascii="Times New Roman" w:hAnsi="Times New Roman" w:cs="Times New Roman"/>
        </w:rPr>
      </w:pPr>
      <w:r>
        <w:rPr>
          <w:rFonts w:ascii="Times New Roman" w:hAnsi="Times New Roman" w:cs="Times New Roman"/>
          <w:b/>
          <w:bCs/>
        </w:rPr>
        <w:t xml:space="preserve">Youth Homeless Demonstration projects </w:t>
      </w:r>
      <w:r>
        <w:rPr>
          <w:rFonts w:ascii="Times New Roman" w:hAnsi="Times New Roman" w:cs="Times New Roman"/>
        </w:rPr>
        <w:t xml:space="preserve">– if </w:t>
      </w:r>
      <w:r w:rsidR="00943AA6">
        <w:rPr>
          <w:rFonts w:ascii="Times New Roman" w:hAnsi="Times New Roman" w:cs="Times New Roman"/>
        </w:rPr>
        <w:t>renewals, may be approved</w:t>
      </w:r>
    </w:p>
    <w:p w14:paraId="1B50450A" w14:textId="77777777" w:rsidR="00C8384E" w:rsidRDefault="00EE0917"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HMIS</w:t>
      </w:r>
      <w:r>
        <w:rPr>
          <w:rFonts w:ascii="Times New Roman" w:hAnsi="Times New Roman" w:cs="Times New Roman"/>
        </w:rPr>
        <w:t xml:space="preserve"> </w:t>
      </w:r>
      <w:r w:rsidR="00D96202">
        <w:rPr>
          <w:rFonts w:ascii="Times New Roman" w:hAnsi="Times New Roman" w:cs="Times New Roman"/>
        </w:rPr>
        <w:t>–</w:t>
      </w:r>
      <w:r>
        <w:rPr>
          <w:rFonts w:ascii="Times New Roman" w:hAnsi="Times New Roman" w:cs="Times New Roman"/>
        </w:rPr>
        <w:t xml:space="preserve"> </w:t>
      </w:r>
      <w:r w:rsidR="00D96202">
        <w:rPr>
          <w:rFonts w:ascii="Times New Roman" w:hAnsi="Times New Roman" w:cs="Times New Roman"/>
        </w:rPr>
        <w:t xml:space="preserve">as directed by congress, HUD must provide an annual estimate of all individuals </w:t>
      </w:r>
      <w:r w:rsidR="00670D94">
        <w:rPr>
          <w:rFonts w:ascii="Times New Roman" w:hAnsi="Times New Roman" w:cs="Times New Roman"/>
        </w:rPr>
        <w:t xml:space="preserve">and families </w:t>
      </w:r>
      <w:r w:rsidR="00C56FE6">
        <w:rPr>
          <w:rFonts w:ascii="Times New Roman" w:hAnsi="Times New Roman" w:cs="Times New Roman"/>
        </w:rPr>
        <w:t xml:space="preserve">experiencing homelessness and provide information to project recipients </w:t>
      </w:r>
      <w:r w:rsidR="00C8384E">
        <w:rPr>
          <w:rFonts w:ascii="Times New Roman" w:hAnsi="Times New Roman" w:cs="Times New Roman"/>
        </w:rPr>
        <w:t>and applicants for needs analysis and funding priorities.</w:t>
      </w:r>
    </w:p>
    <w:p w14:paraId="4E30E445" w14:textId="77777777" w:rsidR="00CB3905" w:rsidRDefault="00C8384E"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Review</w:t>
      </w:r>
      <w:r w:rsidR="00D46049" w:rsidRPr="004B2F39">
        <w:rPr>
          <w:rFonts w:ascii="Times New Roman" w:hAnsi="Times New Roman" w:cs="Times New Roman"/>
          <w:b/>
          <w:bCs/>
        </w:rPr>
        <w:t xml:space="preserve"> of CoC Rankings</w:t>
      </w:r>
      <w:r w:rsidR="00D46049">
        <w:rPr>
          <w:rFonts w:ascii="Times New Roman" w:hAnsi="Times New Roman" w:cs="Times New Roman"/>
        </w:rPr>
        <w:t xml:space="preserve"> – CoC’s will be required to </w:t>
      </w:r>
      <w:r w:rsidR="00F45CD7">
        <w:rPr>
          <w:rFonts w:ascii="Times New Roman" w:hAnsi="Times New Roman" w:cs="Times New Roman"/>
        </w:rPr>
        <w:t xml:space="preserve">rank all new reallocated, CoC Bonus, DV Bonus, </w:t>
      </w:r>
      <w:r w:rsidR="00604096">
        <w:rPr>
          <w:rFonts w:ascii="Times New Roman" w:hAnsi="Times New Roman" w:cs="Times New Roman"/>
        </w:rPr>
        <w:t xml:space="preserve">and renewal project applications </w:t>
      </w:r>
      <w:r w:rsidR="00BA030E">
        <w:rPr>
          <w:rFonts w:ascii="Times New Roman" w:hAnsi="Times New Roman" w:cs="Times New Roman"/>
        </w:rPr>
        <w:t>submitted by project applicants in e-snaps.</w:t>
      </w:r>
    </w:p>
    <w:p w14:paraId="2ACA0AE6" w14:textId="33965C11" w:rsidR="00521B1B" w:rsidRDefault="00CB3905"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lastRenderedPageBreak/>
        <w:t>HUD funding process</w:t>
      </w:r>
      <w:r>
        <w:rPr>
          <w:rFonts w:ascii="Times New Roman" w:hAnsi="Times New Roman" w:cs="Times New Roman"/>
        </w:rPr>
        <w:t xml:space="preserve"> – </w:t>
      </w:r>
      <w:r w:rsidR="002D6AFE">
        <w:rPr>
          <w:rFonts w:ascii="Times New Roman" w:hAnsi="Times New Roman" w:cs="Times New Roman"/>
        </w:rPr>
        <w:t xml:space="preserve"> HUD will continue the </w:t>
      </w:r>
      <w:r>
        <w:rPr>
          <w:rFonts w:ascii="Times New Roman" w:hAnsi="Times New Roman" w:cs="Times New Roman"/>
        </w:rPr>
        <w:t xml:space="preserve">Tier 1 &amp; Tier 2 </w:t>
      </w:r>
      <w:r w:rsidR="004E30F5">
        <w:rPr>
          <w:rFonts w:ascii="Times New Roman" w:hAnsi="Times New Roman" w:cs="Times New Roman"/>
        </w:rPr>
        <w:t xml:space="preserve">funding selection process. </w:t>
      </w:r>
    </w:p>
    <w:p w14:paraId="2A56C91A" w14:textId="1C5EB9F0" w:rsidR="0095145C" w:rsidRDefault="0095145C" w:rsidP="0095145C">
      <w:pPr>
        <w:pStyle w:val="ListParagraph"/>
        <w:numPr>
          <w:ilvl w:val="1"/>
          <w:numId w:val="17"/>
        </w:numPr>
        <w:rPr>
          <w:rFonts w:ascii="Times New Roman" w:hAnsi="Times New Roman" w:cs="Times New Roman"/>
        </w:rPr>
      </w:pPr>
      <w:r>
        <w:rPr>
          <w:rFonts w:ascii="Times New Roman" w:hAnsi="Times New Roman" w:cs="Times New Roman"/>
        </w:rPr>
        <w:t xml:space="preserve">Tier 1 is </w:t>
      </w:r>
      <w:r w:rsidR="00DD2FB0">
        <w:rPr>
          <w:rFonts w:ascii="Times New Roman" w:hAnsi="Times New Roman" w:cs="Times New Roman"/>
        </w:rPr>
        <w:t>95</w:t>
      </w:r>
      <w:r>
        <w:rPr>
          <w:rFonts w:ascii="Times New Roman" w:hAnsi="Times New Roman" w:cs="Times New Roman"/>
        </w:rPr>
        <w:t xml:space="preserve">% of the CoCs Annual Renewal Demand (ARD) </w:t>
      </w:r>
      <w:r w:rsidR="000A3DD7">
        <w:rPr>
          <w:rFonts w:ascii="Times New Roman" w:hAnsi="Times New Roman" w:cs="Times New Roman"/>
        </w:rPr>
        <w:t>and will be conditionally selected</w:t>
      </w:r>
    </w:p>
    <w:p w14:paraId="205205AC" w14:textId="04304AEA" w:rsidR="002925EE" w:rsidRDefault="002925EE" w:rsidP="0095145C">
      <w:pPr>
        <w:pStyle w:val="ListParagraph"/>
        <w:numPr>
          <w:ilvl w:val="1"/>
          <w:numId w:val="17"/>
        </w:numPr>
        <w:rPr>
          <w:rFonts w:ascii="Times New Roman" w:hAnsi="Times New Roman" w:cs="Times New Roman"/>
        </w:rPr>
      </w:pPr>
      <w:r>
        <w:rPr>
          <w:rFonts w:ascii="Times New Roman" w:hAnsi="Times New Roman" w:cs="Times New Roman"/>
        </w:rPr>
        <w:t xml:space="preserve">Tier 2 </w:t>
      </w:r>
      <w:r w:rsidR="009C7DC6">
        <w:rPr>
          <w:rFonts w:ascii="Times New Roman" w:hAnsi="Times New Roman" w:cs="Times New Roman"/>
        </w:rPr>
        <w:t xml:space="preserve">is </w:t>
      </w:r>
      <w:r w:rsidR="009A0C43">
        <w:rPr>
          <w:rFonts w:ascii="Times New Roman" w:hAnsi="Times New Roman" w:cs="Times New Roman"/>
        </w:rPr>
        <w:t>5% of the CoC’s Annual Renewal Demand (ARD)</w:t>
      </w:r>
      <w:r w:rsidR="00154737">
        <w:rPr>
          <w:rFonts w:ascii="Times New Roman" w:hAnsi="Times New Roman" w:cs="Times New Roman"/>
        </w:rPr>
        <w:t xml:space="preserve"> </w:t>
      </w:r>
    </w:p>
    <w:p w14:paraId="572749E5" w14:textId="77777777" w:rsidR="00557C4E" w:rsidRDefault="00306043" w:rsidP="00306043">
      <w:pPr>
        <w:pStyle w:val="ListParagraph"/>
        <w:numPr>
          <w:ilvl w:val="0"/>
          <w:numId w:val="17"/>
        </w:numPr>
        <w:rPr>
          <w:rFonts w:ascii="Times New Roman" w:hAnsi="Times New Roman" w:cs="Times New Roman"/>
        </w:rPr>
      </w:pPr>
      <w:r w:rsidRPr="004B2F39">
        <w:rPr>
          <w:rFonts w:ascii="Times New Roman" w:hAnsi="Times New Roman" w:cs="Times New Roman"/>
          <w:b/>
          <w:bCs/>
        </w:rPr>
        <w:t>Projects straddling tiers</w:t>
      </w:r>
      <w:r>
        <w:rPr>
          <w:rFonts w:ascii="Times New Roman" w:hAnsi="Times New Roman" w:cs="Times New Roman"/>
        </w:rPr>
        <w:t xml:space="preserve"> </w:t>
      </w:r>
      <w:r w:rsidR="00532CEA">
        <w:rPr>
          <w:rFonts w:ascii="Times New Roman" w:hAnsi="Times New Roman" w:cs="Times New Roman"/>
        </w:rPr>
        <w:t xml:space="preserve">– if project applications straddle Tier 1 &amp; Tier 2, HUD will conditionally select </w:t>
      </w:r>
      <w:r w:rsidR="00187C67">
        <w:rPr>
          <w:rFonts w:ascii="Times New Roman" w:hAnsi="Times New Roman" w:cs="Times New Roman"/>
        </w:rPr>
        <w:t xml:space="preserve">the project up to the amount that falls in Tier 1. Using the Tier 2 scoring process, </w:t>
      </w:r>
      <w:r w:rsidR="00E73AF9">
        <w:rPr>
          <w:rFonts w:ascii="Times New Roman" w:hAnsi="Times New Roman" w:cs="Times New Roman"/>
        </w:rPr>
        <w:t>HUD may fund the Tier 2 portion. If HUD does not</w:t>
      </w:r>
      <w:r w:rsidR="00CC6D86">
        <w:rPr>
          <w:rFonts w:ascii="Times New Roman" w:hAnsi="Times New Roman" w:cs="Times New Roman"/>
        </w:rPr>
        <w:t xml:space="preserve"> fund the Tier 2 portion, the project may be awarded </w:t>
      </w:r>
      <w:r w:rsidR="00320433">
        <w:rPr>
          <w:rFonts w:ascii="Times New Roman" w:hAnsi="Times New Roman" w:cs="Times New Roman"/>
        </w:rPr>
        <w:t xml:space="preserve">at the reduced </w:t>
      </w:r>
      <w:r w:rsidR="00CC6D86">
        <w:rPr>
          <w:rFonts w:ascii="Times New Roman" w:hAnsi="Times New Roman" w:cs="Times New Roman"/>
        </w:rPr>
        <w:t>Tier 1 portion</w:t>
      </w:r>
      <w:r w:rsidR="00320433">
        <w:rPr>
          <w:rFonts w:ascii="Times New Roman" w:hAnsi="Times New Roman" w:cs="Times New Roman"/>
        </w:rPr>
        <w:t xml:space="preserve"> if </w:t>
      </w:r>
      <w:r w:rsidR="00695BC7">
        <w:rPr>
          <w:rFonts w:ascii="Times New Roman" w:hAnsi="Times New Roman" w:cs="Times New Roman"/>
        </w:rPr>
        <w:t>it is still feasible with the reduced funding.</w:t>
      </w:r>
    </w:p>
    <w:p w14:paraId="385710D3" w14:textId="37A17FD7" w:rsidR="00BE1E44" w:rsidRPr="000779D5" w:rsidRDefault="00557C4E" w:rsidP="00BE1E44">
      <w:pPr>
        <w:pStyle w:val="ListParagraph"/>
        <w:numPr>
          <w:ilvl w:val="0"/>
          <w:numId w:val="2"/>
        </w:numPr>
        <w:rPr>
          <w:rFonts w:ascii="Times New Roman" w:hAnsi="Times New Roman" w:cs="Times New Roman"/>
          <w:u w:val="single"/>
        </w:rPr>
      </w:pPr>
      <w:r w:rsidRPr="004B2F39">
        <w:rPr>
          <w:rFonts w:ascii="Times New Roman" w:hAnsi="Times New Roman" w:cs="Times New Roman"/>
          <w:b/>
          <w:bCs/>
        </w:rPr>
        <w:t>DV Bonus</w:t>
      </w:r>
      <w:r>
        <w:rPr>
          <w:rFonts w:ascii="Times New Roman" w:hAnsi="Times New Roman" w:cs="Times New Roman"/>
        </w:rPr>
        <w:t xml:space="preserve"> </w:t>
      </w:r>
      <w:r w:rsidR="00D306D3">
        <w:rPr>
          <w:rFonts w:ascii="Times New Roman" w:hAnsi="Times New Roman" w:cs="Times New Roman"/>
        </w:rPr>
        <w:t>–</w:t>
      </w:r>
      <w:r>
        <w:rPr>
          <w:rFonts w:ascii="Times New Roman" w:hAnsi="Times New Roman" w:cs="Times New Roman"/>
        </w:rPr>
        <w:t xml:space="preserve"> </w:t>
      </w:r>
      <w:r w:rsidR="00D306D3">
        <w:rPr>
          <w:rFonts w:ascii="Times New Roman" w:hAnsi="Times New Roman" w:cs="Times New Roman"/>
        </w:rPr>
        <w:t xml:space="preserve">HUD will award </w:t>
      </w:r>
      <w:r w:rsidR="008902B9">
        <w:rPr>
          <w:rFonts w:ascii="Times New Roman" w:hAnsi="Times New Roman" w:cs="Times New Roman"/>
        </w:rPr>
        <w:t>a point value to each DV Bonus project requested combining the C</w:t>
      </w:r>
      <w:r w:rsidR="001A7CC7">
        <w:rPr>
          <w:rFonts w:ascii="Times New Roman" w:hAnsi="Times New Roman" w:cs="Times New Roman"/>
        </w:rPr>
        <w:t>oC Application score and the responses to the DV bonus specific questions.</w:t>
      </w:r>
      <w:r w:rsidR="00BE1E44">
        <w:rPr>
          <w:rFonts w:ascii="Times New Roman" w:hAnsi="Times New Roman" w:cs="Times New Roman"/>
        </w:rPr>
        <w:t xml:space="preserve"> </w:t>
      </w:r>
      <w:r w:rsidR="00BE1E44" w:rsidRPr="000779D5">
        <w:rPr>
          <w:rFonts w:ascii="Times New Roman" w:hAnsi="Times New Roman" w:cs="Times New Roman"/>
        </w:rPr>
        <w:t>CoC Bonus funds to include the following</w:t>
      </w:r>
      <w:r w:rsidR="00BE1E44">
        <w:rPr>
          <w:rFonts w:ascii="Times New Roman" w:hAnsi="Times New Roman" w:cs="Times New Roman"/>
        </w:rPr>
        <w:t xml:space="preserve"> projects</w:t>
      </w:r>
      <w:r w:rsidR="00BE1E44" w:rsidRPr="000779D5">
        <w:rPr>
          <w:rFonts w:ascii="Times New Roman" w:hAnsi="Times New Roman" w:cs="Times New Roman"/>
        </w:rPr>
        <w:t>:</w:t>
      </w:r>
    </w:p>
    <w:p w14:paraId="7F2D3575" w14:textId="77777777" w:rsidR="00BE1E44" w:rsidRPr="000779D5" w:rsidRDefault="00BE1E44" w:rsidP="00BE1E44">
      <w:pPr>
        <w:pStyle w:val="ListParagraph"/>
        <w:numPr>
          <w:ilvl w:val="1"/>
          <w:numId w:val="2"/>
        </w:numPr>
        <w:rPr>
          <w:rFonts w:ascii="Times New Roman" w:hAnsi="Times New Roman" w:cs="Times New Roman"/>
          <w:u w:val="single"/>
        </w:rPr>
      </w:pPr>
      <w:r w:rsidRPr="000779D5">
        <w:rPr>
          <w:rFonts w:ascii="Times New Roman" w:hAnsi="Times New Roman" w:cs="Times New Roman"/>
        </w:rPr>
        <w:t>Rapid Re-housing that follow a housing first approach</w:t>
      </w:r>
    </w:p>
    <w:p w14:paraId="0468BC4C" w14:textId="77777777" w:rsidR="00BE1E44" w:rsidRPr="000779D5" w:rsidRDefault="00BE1E44" w:rsidP="00BE1E44">
      <w:pPr>
        <w:pStyle w:val="ListParagraph"/>
        <w:numPr>
          <w:ilvl w:val="1"/>
          <w:numId w:val="2"/>
        </w:numPr>
        <w:rPr>
          <w:rFonts w:ascii="Times New Roman" w:hAnsi="Times New Roman" w:cs="Times New Roman"/>
          <w:u w:val="single"/>
        </w:rPr>
      </w:pPr>
      <w:r w:rsidRPr="000779D5">
        <w:rPr>
          <w:rFonts w:ascii="Times New Roman" w:hAnsi="Times New Roman" w:cs="Times New Roman"/>
        </w:rPr>
        <w:t>Joint TH and PH-RRH component projects that follow a housing first approach</w:t>
      </w:r>
    </w:p>
    <w:p w14:paraId="2920F345" w14:textId="0FE01B55" w:rsidR="00613D7B" w:rsidRPr="004D14DB" w:rsidRDefault="00BE1E44" w:rsidP="004D14DB">
      <w:pPr>
        <w:pStyle w:val="ListParagraph"/>
        <w:numPr>
          <w:ilvl w:val="1"/>
          <w:numId w:val="2"/>
        </w:numPr>
        <w:rPr>
          <w:rFonts w:ascii="Times New Roman" w:hAnsi="Times New Roman" w:cs="Times New Roman"/>
          <w:u w:val="single"/>
        </w:rPr>
      </w:pPr>
      <w:r w:rsidRPr="000779D5">
        <w:rPr>
          <w:rFonts w:ascii="Times New Roman" w:hAnsi="Times New Roman" w:cs="Times New Roman"/>
        </w:rPr>
        <w:t xml:space="preserve">SSO Projects for Coordinated Entry (SSO-CE) </w:t>
      </w:r>
      <w:r w:rsidR="004D14DB">
        <w:rPr>
          <w:rFonts w:ascii="Times New Roman" w:hAnsi="Times New Roman" w:cs="Times New Roman"/>
        </w:rPr>
        <w:t>– only 1 is allowed for each CoC – Hennepin funds the Domestic Abuse Project currently for this opportunity.</w:t>
      </w:r>
    </w:p>
    <w:p w14:paraId="029D8659" w14:textId="77777777" w:rsidR="004F4D8A" w:rsidRDefault="00613D7B" w:rsidP="00306043">
      <w:pPr>
        <w:pStyle w:val="ListParagraph"/>
        <w:numPr>
          <w:ilvl w:val="0"/>
          <w:numId w:val="17"/>
        </w:numPr>
        <w:rPr>
          <w:rFonts w:ascii="Times New Roman" w:hAnsi="Times New Roman" w:cs="Times New Roman"/>
        </w:rPr>
      </w:pPr>
      <w:r w:rsidRPr="004B2F39">
        <w:rPr>
          <w:rFonts w:ascii="Times New Roman" w:hAnsi="Times New Roman" w:cs="Times New Roman"/>
          <w:b/>
          <w:bCs/>
        </w:rPr>
        <w:t>Participant Eligibility</w:t>
      </w:r>
      <w:r>
        <w:rPr>
          <w:rFonts w:ascii="Times New Roman" w:hAnsi="Times New Roman" w:cs="Times New Roman"/>
        </w:rPr>
        <w:t xml:space="preserve"> </w:t>
      </w:r>
      <w:r w:rsidR="004F4D8A">
        <w:rPr>
          <w:rFonts w:ascii="Times New Roman" w:hAnsi="Times New Roman" w:cs="Times New Roman"/>
        </w:rPr>
        <w:t>–</w:t>
      </w:r>
      <w:r>
        <w:rPr>
          <w:rFonts w:ascii="Times New Roman" w:hAnsi="Times New Roman" w:cs="Times New Roman"/>
        </w:rPr>
        <w:t xml:space="preserve"> </w:t>
      </w:r>
      <w:r w:rsidR="004F4D8A">
        <w:rPr>
          <w:rFonts w:ascii="Times New Roman" w:hAnsi="Times New Roman" w:cs="Times New Roman"/>
        </w:rPr>
        <w:t>projects funded through this NOFA must meet the following eligibility criteria for program participants:</w:t>
      </w:r>
    </w:p>
    <w:p w14:paraId="0A9BF625" w14:textId="77777777" w:rsidR="00EB18FC" w:rsidRDefault="00EB18FC" w:rsidP="004F4D8A">
      <w:pPr>
        <w:pStyle w:val="ListParagraph"/>
        <w:numPr>
          <w:ilvl w:val="1"/>
          <w:numId w:val="17"/>
        </w:numPr>
        <w:rPr>
          <w:rFonts w:ascii="Times New Roman" w:hAnsi="Times New Roman" w:cs="Times New Roman"/>
        </w:rPr>
      </w:pPr>
      <w:r>
        <w:rPr>
          <w:rFonts w:ascii="Times New Roman" w:hAnsi="Times New Roman" w:cs="Times New Roman"/>
        </w:rPr>
        <w:t>All must participate in Coordinated Entry</w:t>
      </w:r>
    </w:p>
    <w:p w14:paraId="7F15A95C" w14:textId="77777777" w:rsidR="00E65F0F" w:rsidRDefault="00EB18FC" w:rsidP="004F4D8A">
      <w:pPr>
        <w:pStyle w:val="ListParagraph"/>
        <w:numPr>
          <w:ilvl w:val="1"/>
          <w:numId w:val="17"/>
        </w:numPr>
        <w:rPr>
          <w:rFonts w:ascii="Times New Roman" w:hAnsi="Times New Roman" w:cs="Times New Roman"/>
        </w:rPr>
      </w:pPr>
      <w:r>
        <w:rPr>
          <w:rFonts w:ascii="Times New Roman" w:hAnsi="Times New Roman" w:cs="Times New Roman"/>
        </w:rPr>
        <w:t xml:space="preserve">Selection of program participants must be consistent with </w:t>
      </w:r>
      <w:r w:rsidR="00E65F0F">
        <w:rPr>
          <w:rFonts w:ascii="Times New Roman" w:hAnsi="Times New Roman" w:cs="Times New Roman"/>
        </w:rPr>
        <w:t xml:space="preserve">CoCs </w:t>
      </w:r>
      <w:r>
        <w:rPr>
          <w:rFonts w:ascii="Times New Roman" w:hAnsi="Times New Roman" w:cs="Times New Roman"/>
        </w:rPr>
        <w:t xml:space="preserve">Coordinated Entry </w:t>
      </w:r>
      <w:r w:rsidR="00E65F0F">
        <w:rPr>
          <w:rFonts w:ascii="Times New Roman" w:hAnsi="Times New Roman" w:cs="Times New Roman"/>
        </w:rPr>
        <w:t>process</w:t>
      </w:r>
    </w:p>
    <w:p w14:paraId="4CAD9D41" w14:textId="749668BF" w:rsidR="00306043" w:rsidRDefault="00883CF3" w:rsidP="00883CF3">
      <w:pPr>
        <w:pStyle w:val="ListParagraph"/>
        <w:numPr>
          <w:ilvl w:val="0"/>
          <w:numId w:val="27"/>
        </w:numPr>
        <w:rPr>
          <w:rFonts w:ascii="Times New Roman" w:hAnsi="Times New Roman" w:cs="Times New Roman"/>
        </w:rPr>
      </w:pPr>
      <w:r w:rsidRPr="004B2F39">
        <w:rPr>
          <w:rFonts w:ascii="Times New Roman" w:hAnsi="Times New Roman" w:cs="Times New Roman"/>
          <w:b/>
          <w:bCs/>
        </w:rPr>
        <w:t xml:space="preserve">Renewal projects </w:t>
      </w:r>
      <w:r w:rsidR="002E3359" w:rsidRPr="004B2F39">
        <w:rPr>
          <w:rFonts w:ascii="Times New Roman" w:hAnsi="Times New Roman" w:cs="Times New Roman"/>
          <w:b/>
          <w:bCs/>
        </w:rPr>
        <w:t>PH-PSH</w:t>
      </w:r>
      <w:r w:rsidR="002E3359">
        <w:rPr>
          <w:rFonts w:ascii="Times New Roman" w:hAnsi="Times New Roman" w:cs="Times New Roman"/>
        </w:rPr>
        <w:t xml:space="preserve"> must serve:</w:t>
      </w:r>
    </w:p>
    <w:p w14:paraId="7E427E2E" w14:textId="7F836E6F" w:rsidR="0095646D" w:rsidRDefault="0095646D" w:rsidP="002E3359">
      <w:pPr>
        <w:pStyle w:val="ListParagraph"/>
        <w:numPr>
          <w:ilvl w:val="1"/>
          <w:numId w:val="27"/>
        </w:numPr>
        <w:rPr>
          <w:rFonts w:ascii="Times New Roman" w:hAnsi="Times New Roman" w:cs="Times New Roman"/>
        </w:rPr>
      </w:pPr>
      <w:r>
        <w:rPr>
          <w:rFonts w:ascii="Times New Roman" w:hAnsi="Times New Roman" w:cs="Times New Roman"/>
        </w:rPr>
        <w:t xml:space="preserve">Program participants eligible under </w:t>
      </w:r>
      <w:r w:rsidR="00FE3201">
        <w:rPr>
          <w:rFonts w:ascii="Times New Roman" w:hAnsi="Times New Roman" w:cs="Times New Roman"/>
        </w:rPr>
        <w:t>projects current grant agreement</w:t>
      </w:r>
    </w:p>
    <w:p w14:paraId="493D50F6" w14:textId="5DAF7CEE" w:rsidR="002E3359" w:rsidRDefault="00814D9A" w:rsidP="002E3359">
      <w:pPr>
        <w:pStyle w:val="ListParagraph"/>
        <w:numPr>
          <w:ilvl w:val="1"/>
          <w:numId w:val="27"/>
        </w:numPr>
        <w:rPr>
          <w:rFonts w:ascii="Times New Roman" w:hAnsi="Times New Roman" w:cs="Times New Roman"/>
        </w:rPr>
      </w:pPr>
      <w:r>
        <w:rPr>
          <w:rFonts w:ascii="Times New Roman" w:hAnsi="Times New Roman" w:cs="Times New Roman"/>
        </w:rPr>
        <w:t>Dedicated PLUS</w:t>
      </w:r>
      <w:r w:rsidR="002E3359">
        <w:rPr>
          <w:rFonts w:ascii="Times New Roman" w:hAnsi="Times New Roman" w:cs="Times New Roman"/>
        </w:rPr>
        <w:t xml:space="preserve"> </w:t>
      </w:r>
      <w:r w:rsidR="00FE3201">
        <w:rPr>
          <w:rFonts w:ascii="Times New Roman" w:hAnsi="Times New Roman" w:cs="Times New Roman"/>
        </w:rPr>
        <w:t xml:space="preserve">where applicable in project application, or </w:t>
      </w:r>
    </w:p>
    <w:p w14:paraId="16AF343B" w14:textId="351EE45C" w:rsidR="002E3359" w:rsidRDefault="003601CC" w:rsidP="002E3359">
      <w:pPr>
        <w:pStyle w:val="ListParagraph"/>
        <w:numPr>
          <w:ilvl w:val="1"/>
          <w:numId w:val="27"/>
        </w:numPr>
        <w:rPr>
          <w:rFonts w:ascii="Times New Roman" w:hAnsi="Times New Roman" w:cs="Times New Roman"/>
        </w:rPr>
      </w:pPr>
      <w:r>
        <w:rPr>
          <w:rFonts w:ascii="Times New Roman" w:hAnsi="Times New Roman" w:cs="Times New Roman"/>
        </w:rPr>
        <w:t>Persons experiencing c</w:t>
      </w:r>
      <w:r w:rsidR="002E3359">
        <w:rPr>
          <w:rFonts w:ascii="Times New Roman" w:hAnsi="Times New Roman" w:cs="Times New Roman"/>
        </w:rPr>
        <w:t xml:space="preserve">hronic </w:t>
      </w:r>
      <w:r>
        <w:rPr>
          <w:rFonts w:ascii="Times New Roman" w:hAnsi="Times New Roman" w:cs="Times New Roman"/>
        </w:rPr>
        <w:t>homelessness at the time they initially enrolled</w:t>
      </w:r>
    </w:p>
    <w:p w14:paraId="0FC90FB9" w14:textId="66D27131" w:rsidR="005A48A0" w:rsidRDefault="005A48A0" w:rsidP="005A48A0">
      <w:pPr>
        <w:pStyle w:val="ListParagraph"/>
        <w:numPr>
          <w:ilvl w:val="0"/>
          <w:numId w:val="27"/>
        </w:numPr>
        <w:rPr>
          <w:rFonts w:ascii="Times New Roman" w:hAnsi="Times New Roman" w:cs="Times New Roman"/>
        </w:rPr>
      </w:pPr>
      <w:r w:rsidRPr="004B2F39">
        <w:rPr>
          <w:rFonts w:ascii="Times New Roman" w:hAnsi="Times New Roman" w:cs="Times New Roman"/>
          <w:b/>
          <w:bCs/>
        </w:rPr>
        <w:t xml:space="preserve">New projects </w:t>
      </w:r>
      <w:r w:rsidR="00EF62A5" w:rsidRPr="004B2F39">
        <w:rPr>
          <w:rFonts w:ascii="Times New Roman" w:hAnsi="Times New Roman" w:cs="Times New Roman"/>
          <w:b/>
          <w:bCs/>
        </w:rPr>
        <w:t>PH-PSH</w:t>
      </w:r>
      <w:r w:rsidR="00EF62A5">
        <w:rPr>
          <w:rFonts w:ascii="Times New Roman" w:hAnsi="Times New Roman" w:cs="Times New Roman"/>
        </w:rPr>
        <w:t xml:space="preserve"> must serve:</w:t>
      </w:r>
    </w:p>
    <w:p w14:paraId="324D5126" w14:textId="6A56FC9D" w:rsidR="00EF62A5" w:rsidRDefault="00EF62A5" w:rsidP="00EF62A5">
      <w:pPr>
        <w:pStyle w:val="ListParagraph"/>
        <w:numPr>
          <w:ilvl w:val="1"/>
          <w:numId w:val="27"/>
        </w:numPr>
        <w:rPr>
          <w:rFonts w:ascii="Times New Roman" w:hAnsi="Times New Roman" w:cs="Times New Roman"/>
        </w:rPr>
      </w:pPr>
      <w:r>
        <w:rPr>
          <w:rFonts w:ascii="Times New Roman" w:hAnsi="Times New Roman" w:cs="Times New Roman"/>
        </w:rPr>
        <w:t>DedicatedPLUS or</w:t>
      </w:r>
    </w:p>
    <w:p w14:paraId="2625F6C4" w14:textId="6FFFB9A3" w:rsidR="00EF62A5" w:rsidRDefault="00EF62A5" w:rsidP="00EF62A5">
      <w:pPr>
        <w:pStyle w:val="ListParagraph"/>
        <w:numPr>
          <w:ilvl w:val="1"/>
          <w:numId w:val="27"/>
        </w:numPr>
        <w:rPr>
          <w:rFonts w:ascii="Times New Roman" w:hAnsi="Times New Roman" w:cs="Times New Roman"/>
        </w:rPr>
      </w:pPr>
      <w:r>
        <w:rPr>
          <w:rFonts w:ascii="Times New Roman" w:hAnsi="Times New Roman" w:cs="Times New Roman"/>
        </w:rPr>
        <w:t>Persons experiencing chronic homelessness at the time they initially enrolled</w:t>
      </w:r>
    </w:p>
    <w:p w14:paraId="408196F4" w14:textId="482CE818" w:rsidR="005B169B" w:rsidRDefault="005B169B" w:rsidP="005B169B">
      <w:pPr>
        <w:pStyle w:val="ListParagraph"/>
        <w:numPr>
          <w:ilvl w:val="0"/>
          <w:numId w:val="30"/>
        </w:numPr>
        <w:rPr>
          <w:rFonts w:ascii="Times New Roman" w:hAnsi="Times New Roman" w:cs="Times New Roman"/>
        </w:rPr>
      </w:pPr>
      <w:r>
        <w:rPr>
          <w:rFonts w:ascii="Times New Roman" w:hAnsi="Times New Roman" w:cs="Times New Roman"/>
          <w:b/>
          <w:bCs/>
        </w:rPr>
        <w:t xml:space="preserve">New PH-RRH, Joint TH/PH-RRH &amp; SSO-CE </w:t>
      </w:r>
      <w:r>
        <w:rPr>
          <w:rFonts w:ascii="Times New Roman" w:hAnsi="Times New Roman" w:cs="Times New Roman"/>
        </w:rPr>
        <w:t>must serve:</w:t>
      </w:r>
    </w:p>
    <w:p w14:paraId="05F12F46" w14:textId="72AD9F47" w:rsidR="005B169B" w:rsidRPr="005B169B" w:rsidRDefault="005B169B" w:rsidP="005B169B">
      <w:pPr>
        <w:pStyle w:val="ListParagraph"/>
        <w:numPr>
          <w:ilvl w:val="1"/>
          <w:numId w:val="30"/>
        </w:numPr>
        <w:rPr>
          <w:rFonts w:ascii="Times New Roman" w:hAnsi="Times New Roman" w:cs="Times New Roman"/>
        </w:rPr>
      </w:pPr>
      <w:r>
        <w:rPr>
          <w:rFonts w:ascii="Times New Roman" w:hAnsi="Times New Roman" w:cs="Times New Roman"/>
        </w:rPr>
        <w:t>(1), (2), or (4) homeless definition</w:t>
      </w:r>
      <w:r w:rsidR="00C376C8">
        <w:rPr>
          <w:rFonts w:ascii="Times New Roman" w:hAnsi="Times New Roman" w:cs="Times New Roman"/>
        </w:rPr>
        <w:t>s</w:t>
      </w:r>
    </w:p>
    <w:p w14:paraId="24961150" w14:textId="3C2AFD5B" w:rsidR="004B2F39" w:rsidRPr="004B2F39" w:rsidRDefault="004B2F39" w:rsidP="004B2F39">
      <w:pPr>
        <w:pStyle w:val="ListParagraph"/>
        <w:numPr>
          <w:ilvl w:val="0"/>
          <w:numId w:val="27"/>
        </w:numPr>
        <w:rPr>
          <w:rFonts w:ascii="Times New Roman" w:hAnsi="Times New Roman" w:cs="Times New Roman"/>
        </w:rPr>
      </w:pPr>
      <w:r w:rsidRPr="004B2F39">
        <w:rPr>
          <w:rFonts w:ascii="Times New Roman" w:hAnsi="Times New Roman" w:cs="Times New Roman"/>
          <w:b/>
          <w:bCs/>
        </w:rPr>
        <w:t>Expansion projects</w:t>
      </w:r>
      <w:r w:rsidRPr="004B2F39">
        <w:rPr>
          <w:rFonts w:ascii="Times New Roman" w:hAnsi="Times New Roman" w:cs="Times New Roman"/>
        </w:rPr>
        <w:t xml:space="preserve"> </w:t>
      </w:r>
      <w:r>
        <w:rPr>
          <w:rFonts w:ascii="Times New Roman" w:hAnsi="Times New Roman" w:cs="Times New Roman"/>
        </w:rPr>
        <w:t xml:space="preserve">- </w:t>
      </w:r>
      <w:r w:rsidRPr="000779D5">
        <w:rPr>
          <w:rFonts w:ascii="Times New Roman" w:hAnsi="Times New Roman" w:cs="Times New Roman"/>
        </w:rPr>
        <w:t>can be requested under the bonus or reallocation in order to expand existing units in a project or serve additional persons, or in the case of HMIS, grant activities will be expanded within CoC and fits into the funding parameters of bonus or reallocation.</w:t>
      </w:r>
      <w:r>
        <w:rPr>
          <w:rFonts w:ascii="Times New Roman" w:hAnsi="Times New Roman" w:cs="Times New Roman"/>
        </w:rPr>
        <w:t xml:space="preserve"> </w:t>
      </w:r>
      <w:r w:rsidRPr="004B2F39">
        <w:rPr>
          <w:rFonts w:ascii="Times New Roman" w:hAnsi="Times New Roman" w:cs="Times New Roman"/>
        </w:rPr>
        <w:t>Expand an existing project with DV Bonus</w:t>
      </w:r>
    </w:p>
    <w:p w14:paraId="06AAE11A" w14:textId="77777777" w:rsidR="00EF62A5" w:rsidRPr="005A48A0" w:rsidRDefault="00EF62A5" w:rsidP="004B2F39">
      <w:pPr>
        <w:pStyle w:val="ListParagraph"/>
        <w:ind w:left="1495"/>
        <w:rPr>
          <w:rFonts w:ascii="Times New Roman" w:hAnsi="Times New Roman" w:cs="Times New Roman"/>
        </w:rPr>
      </w:pPr>
    </w:p>
    <w:p w14:paraId="017B3A3F" w14:textId="77777777" w:rsidR="007E0292" w:rsidRDefault="007E0292" w:rsidP="00F617D7">
      <w:pPr>
        <w:rPr>
          <w:rFonts w:ascii="Times New Roman" w:hAnsi="Times New Roman" w:cs="Times New Roman"/>
          <w:b/>
          <w:bCs/>
          <w:sz w:val="24"/>
          <w:szCs w:val="24"/>
          <w:u w:val="single"/>
        </w:rPr>
      </w:pPr>
    </w:p>
    <w:p w14:paraId="79B50806" w14:textId="44B8D2C9" w:rsidR="00615506" w:rsidRDefault="00615506" w:rsidP="00F617D7">
      <w:pPr>
        <w:rPr>
          <w:rFonts w:ascii="Times New Roman" w:hAnsi="Times New Roman" w:cs="Times New Roman"/>
          <w:b/>
          <w:bCs/>
          <w:sz w:val="24"/>
          <w:szCs w:val="24"/>
          <w:u w:val="single"/>
        </w:rPr>
      </w:pPr>
      <w:r>
        <w:rPr>
          <w:rFonts w:ascii="Times New Roman" w:hAnsi="Times New Roman" w:cs="Times New Roman"/>
          <w:b/>
          <w:bCs/>
          <w:sz w:val="24"/>
          <w:szCs w:val="24"/>
          <w:u w:val="single"/>
        </w:rPr>
        <w:t>Collaborative Application point breakdown:</w:t>
      </w:r>
    </w:p>
    <w:tbl>
      <w:tblPr>
        <w:tblStyle w:val="TableGrid"/>
        <w:tblW w:w="0" w:type="auto"/>
        <w:tblLook w:val="04A0" w:firstRow="1" w:lastRow="0" w:firstColumn="1" w:lastColumn="0" w:noHBand="0" w:noVBand="1"/>
      </w:tblPr>
      <w:tblGrid>
        <w:gridCol w:w="1435"/>
        <w:gridCol w:w="5130"/>
      </w:tblGrid>
      <w:tr w:rsidR="00615506" w14:paraId="43E99EA4" w14:textId="77777777" w:rsidTr="007B7F06">
        <w:tc>
          <w:tcPr>
            <w:tcW w:w="1435" w:type="dxa"/>
            <w:shd w:val="clear" w:color="auto" w:fill="D5DCE4" w:themeFill="text2" w:themeFillTint="33"/>
          </w:tcPr>
          <w:p w14:paraId="274B32EA" w14:textId="77C226DC" w:rsidR="00615506" w:rsidRDefault="00615506" w:rsidP="00F617D7">
            <w:pPr>
              <w:rPr>
                <w:rFonts w:ascii="Times New Roman" w:hAnsi="Times New Roman" w:cs="Times New Roman"/>
                <w:sz w:val="24"/>
                <w:szCs w:val="24"/>
              </w:rPr>
            </w:pPr>
            <w:r>
              <w:rPr>
                <w:rFonts w:ascii="Times New Roman" w:hAnsi="Times New Roman" w:cs="Times New Roman"/>
                <w:sz w:val="24"/>
                <w:szCs w:val="24"/>
              </w:rPr>
              <w:t>Points</w:t>
            </w:r>
          </w:p>
        </w:tc>
        <w:tc>
          <w:tcPr>
            <w:tcW w:w="5130" w:type="dxa"/>
            <w:shd w:val="clear" w:color="auto" w:fill="D5DCE4" w:themeFill="text2" w:themeFillTint="33"/>
          </w:tcPr>
          <w:p w14:paraId="0AED1274" w14:textId="568CCB54" w:rsidR="00615506" w:rsidRDefault="00615506" w:rsidP="00F617D7">
            <w:pPr>
              <w:rPr>
                <w:rFonts w:ascii="Times New Roman" w:hAnsi="Times New Roman" w:cs="Times New Roman"/>
                <w:sz w:val="24"/>
                <w:szCs w:val="24"/>
              </w:rPr>
            </w:pPr>
            <w:r>
              <w:rPr>
                <w:rFonts w:ascii="Times New Roman" w:hAnsi="Times New Roman" w:cs="Times New Roman"/>
                <w:sz w:val="24"/>
                <w:szCs w:val="24"/>
              </w:rPr>
              <w:t>Score area</w:t>
            </w:r>
          </w:p>
        </w:tc>
      </w:tr>
      <w:tr w:rsidR="00615506" w14:paraId="7ACAB70C" w14:textId="77777777" w:rsidTr="007B7F06">
        <w:tc>
          <w:tcPr>
            <w:tcW w:w="1435" w:type="dxa"/>
          </w:tcPr>
          <w:p w14:paraId="7477E3C0" w14:textId="03DEA14B" w:rsidR="00615506" w:rsidRDefault="006E5591" w:rsidP="00F617D7">
            <w:pPr>
              <w:rPr>
                <w:rFonts w:ascii="Times New Roman" w:hAnsi="Times New Roman" w:cs="Times New Roman"/>
                <w:sz w:val="24"/>
                <w:szCs w:val="24"/>
              </w:rPr>
            </w:pPr>
            <w:r>
              <w:rPr>
                <w:rFonts w:ascii="Times New Roman" w:hAnsi="Times New Roman" w:cs="Times New Roman"/>
                <w:sz w:val="24"/>
                <w:szCs w:val="24"/>
              </w:rPr>
              <w:t>83</w:t>
            </w:r>
          </w:p>
        </w:tc>
        <w:tc>
          <w:tcPr>
            <w:tcW w:w="5130" w:type="dxa"/>
          </w:tcPr>
          <w:p w14:paraId="3669255A" w14:textId="09937C39" w:rsidR="00615506" w:rsidRDefault="006E5591" w:rsidP="00F617D7">
            <w:pPr>
              <w:rPr>
                <w:rFonts w:ascii="Times New Roman" w:hAnsi="Times New Roman" w:cs="Times New Roman"/>
                <w:sz w:val="24"/>
                <w:szCs w:val="24"/>
              </w:rPr>
            </w:pPr>
            <w:r>
              <w:rPr>
                <w:rFonts w:ascii="Times New Roman" w:hAnsi="Times New Roman" w:cs="Times New Roman"/>
                <w:sz w:val="24"/>
                <w:szCs w:val="24"/>
              </w:rPr>
              <w:t>Coordination/Engagement</w:t>
            </w:r>
          </w:p>
        </w:tc>
      </w:tr>
      <w:tr w:rsidR="00615506" w14:paraId="3461FC69" w14:textId="77777777" w:rsidTr="007B7F06">
        <w:tc>
          <w:tcPr>
            <w:tcW w:w="1435" w:type="dxa"/>
          </w:tcPr>
          <w:p w14:paraId="4DDD40E4" w14:textId="2D9DA7E2" w:rsidR="00615506" w:rsidRDefault="006E5591" w:rsidP="00F617D7">
            <w:pPr>
              <w:rPr>
                <w:rFonts w:ascii="Times New Roman" w:hAnsi="Times New Roman" w:cs="Times New Roman"/>
                <w:sz w:val="24"/>
                <w:szCs w:val="24"/>
              </w:rPr>
            </w:pPr>
            <w:r>
              <w:rPr>
                <w:rFonts w:ascii="Times New Roman" w:hAnsi="Times New Roman" w:cs="Times New Roman"/>
                <w:sz w:val="24"/>
                <w:szCs w:val="24"/>
              </w:rPr>
              <w:t>30</w:t>
            </w:r>
          </w:p>
        </w:tc>
        <w:tc>
          <w:tcPr>
            <w:tcW w:w="5130" w:type="dxa"/>
          </w:tcPr>
          <w:p w14:paraId="3C0F5CA5" w14:textId="353BFC86" w:rsidR="00615506" w:rsidRDefault="006E5591" w:rsidP="00F617D7">
            <w:pPr>
              <w:rPr>
                <w:rFonts w:ascii="Times New Roman" w:hAnsi="Times New Roman" w:cs="Times New Roman"/>
                <w:sz w:val="24"/>
                <w:szCs w:val="24"/>
              </w:rPr>
            </w:pPr>
            <w:r>
              <w:rPr>
                <w:rFonts w:ascii="Times New Roman" w:hAnsi="Times New Roman" w:cs="Times New Roman"/>
                <w:sz w:val="24"/>
                <w:szCs w:val="24"/>
              </w:rPr>
              <w:t>Project capacity, review, rank</w:t>
            </w:r>
          </w:p>
        </w:tc>
      </w:tr>
      <w:tr w:rsidR="00615506" w14:paraId="09596163" w14:textId="77777777" w:rsidTr="007B7F06">
        <w:tc>
          <w:tcPr>
            <w:tcW w:w="1435" w:type="dxa"/>
          </w:tcPr>
          <w:p w14:paraId="2E1D1326" w14:textId="479A2134" w:rsidR="00615506" w:rsidRDefault="006E5591" w:rsidP="00F617D7">
            <w:pPr>
              <w:rPr>
                <w:rFonts w:ascii="Times New Roman" w:hAnsi="Times New Roman" w:cs="Times New Roman"/>
                <w:sz w:val="24"/>
                <w:szCs w:val="24"/>
              </w:rPr>
            </w:pPr>
            <w:r>
              <w:rPr>
                <w:rFonts w:ascii="Times New Roman" w:hAnsi="Times New Roman" w:cs="Times New Roman"/>
                <w:sz w:val="24"/>
                <w:szCs w:val="24"/>
              </w:rPr>
              <w:t>9</w:t>
            </w:r>
          </w:p>
        </w:tc>
        <w:tc>
          <w:tcPr>
            <w:tcW w:w="5130" w:type="dxa"/>
          </w:tcPr>
          <w:p w14:paraId="2C746BD4" w14:textId="71846F51" w:rsidR="00615506" w:rsidRDefault="006E5591" w:rsidP="00F617D7">
            <w:pPr>
              <w:rPr>
                <w:rFonts w:ascii="Times New Roman" w:hAnsi="Times New Roman" w:cs="Times New Roman"/>
                <w:sz w:val="24"/>
                <w:szCs w:val="24"/>
              </w:rPr>
            </w:pPr>
            <w:r>
              <w:rPr>
                <w:rFonts w:ascii="Times New Roman" w:hAnsi="Times New Roman" w:cs="Times New Roman"/>
                <w:sz w:val="24"/>
                <w:szCs w:val="24"/>
              </w:rPr>
              <w:t>Homeless Management Information System</w:t>
            </w:r>
          </w:p>
        </w:tc>
      </w:tr>
      <w:tr w:rsidR="00615506" w14:paraId="0979BBD4" w14:textId="77777777" w:rsidTr="007B7F06">
        <w:tc>
          <w:tcPr>
            <w:tcW w:w="1435" w:type="dxa"/>
          </w:tcPr>
          <w:p w14:paraId="44F9BD60" w14:textId="00AF6566" w:rsidR="00615506" w:rsidRDefault="006E5591" w:rsidP="00F617D7">
            <w:pPr>
              <w:rPr>
                <w:rFonts w:ascii="Times New Roman" w:hAnsi="Times New Roman" w:cs="Times New Roman"/>
                <w:sz w:val="24"/>
                <w:szCs w:val="24"/>
              </w:rPr>
            </w:pPr>
            <w:r>
              <w:rPr>
                <w:rFonts w:ascii="Times New Roman" w:hAnsi="Times New Roman" w:cs="Times New Roman"/>
                <w:sz w:val="24"/>
                <w:szCs w:val="24"/>
              </w:rPr>
              <w:t>5</w:t>
            </w:r>
          </w:p>
        </w:tc>
        <w:tc>
          <w:tcPr>
            <w:tcW w:w="5130" w:type="dxa"/>
          </w:tcPr>
          <w:p w14:paraId="3BE2DE5F" w14:textId="158CB9E4" w:rsidR="00615506" w:rsidRDefault="006E5591" w:rsidP="00F617D7">
            <w:pPr>
              <w:rPr>
                <w:rFonts w:ascii="Times New Roman" w:hAnsi="Times New Roman" w:cs="Times New Roman"/>
                <w:sz w:val="24"/>
                <w:szCs w:val="24"/>
              </w:rPr>
            </w:pPr>
            <w:r>
              <w:rPr>
                <w:rFonts w:ascii="Times New Roman" w:hAnsi="Times New Roman" w:cs="Times New Roman"/>
                <w:sz w:val="24"/>
                <w:szCs w:val="24"/>
              </w:rPr>
              <w:t>Point in Time Count</w:t>
            </w:r>
          </w:p>
        </w:tc>
      </w:tr>
      <w:tr w:rsidR="00615506" w14:paraId="7FCC07EF" w14:textId="77777777" w:rsidTr="007B7F06">
        <w:tc>
          <w:tcPr>
            <w:tcW w:w="1435" w:type="dxa"/>
          </w:tcPr>
          <w:p w14:paraId="1E277B46" w14:textId="1C6181D9" w:rsidR="00615506" w:rsidRDefault="007B7F06" w:rsidP="00F617D7">
            <w:pPr>
              <w:rPr>
                <w:rFonts w:ascii="Times New Roman" w:hAnsi="Times New Roman" w:cs="Times New Roman"/>
                <w:sz w:val="24"/>
                <w:szCs w:val="24"/>
              </w:rPr>
            </w:pPr>
            <w:r>
              <w:rPr>
                <w:rFonts w:ascii="Times New Roman" w:hAnsi="Times New Roman" w:cs="Times New Roman"/>
                <w:sz w:val="24"/>
                <w:szCs w:val="24"/>
              </w:rPr>
              <w:t>59</w:t>
            </w:r>
          </w:p>
        </w:tc>
        <w:tc>
          <w:tcPr>
            <w:tcW w:w="5130" w:type="dxa"/>
          </w:tcPr>
          <w:p w14:paraId="6BB0FC4D" w14:textId="353A4130" w:rsidR="00615506" w:rsidRDefault="007B7F06" w:rsidP="00F617D7">
            <w:pPr>
              <w:rPr>
                <w:rFonts w:ascii="Times New Roman" w:hAnsi="Times New Roman" w:cs="Times New Roman"/>
                <w:sz w:val="24"/>
                <w:szCs w:val="24"/>
              </w:rPr>
            </w:pPr>
            <w:r>
              <w:rPr>
                <w:rFonts w:ascii="Times New Roman" w:hAnsi="Times New Roman" w:cs="Times New Roman"/>
                <w:sz w:val="24"/>
                <w:szCs w:val="24"/>
              </w:rPr>
              <w:t>System Performance Measures</w:t>
            </w:r>
          </w:p>
        </w:tc>
      </w:tr>
      <w:tr w:rsidR="00615506" w14:paraId="253995B7" w14:textId="77777777" w:rsidTr="007B7F06">
        <w:tc>
          <w:tcPr>
            <w:tcW w:w="1435" w:type="dxa"/>
          </w:tcPr>
          <w:p w14:paraId="515966AA" w14:textId="342C1AF4" w:rsidR="00615506" w:rsidRDefault="007B7F06" w:rsidP="00F617D7">
            <w:pPr>
              <w:rPr>
                <w:rFonts w:ascii="Times New Roman" w:hAnsi="Times New Roman" w:cs="Times New Roman"/>
                <w:sz w:val="24"/>
                <w:szCs w:val="24"/>
              </w:rPr>
            </w:pPr>
            <w:r>
              <w:rPr>
                <w:rFonts w:ascii="Times New Roman" w:hAnsi="Times New Roman" w:cs="Times New Roman"/>
                <w:sz w:val="24"/>
                <w:szCs w:val="24"/>
              </w:rPr>
              <w:t>14</w:t>
            </w:r>
          </w:p>
        </w:tc>
        <w:tc>
          <w:tcPr>
            <w:tcW w:w="5130" w:type="dxa"/>
          </w:tcPr>
          <w:p w14:paraId="6DC477EC" w14:textId="06F0D77C" w:rsidR="00615506" w:rsidRDefault="007B7F06" w:rsidP="00F617D7">
            <w:pPr>
              <w:rPr>
                <w:rFonts w:ascii="Times New Roman" w:hAnsi="Times New Roman" w:cs="Times New Roman"/>
                <w:sz w:val="24"/>
                <w:szCs w:val="24"/>
              </w:rPr>
            </w:pPr>
            <w:r>
              <w:rPr>
                <w:rFonts w:ascii="Times New Roman" w:hAnsi="Times New Roman" w:cs="Times New Roman"/>
                <w:sz w:val="24"/>
                <w:szCs w:val="24"/>
              </w:rPr>
              <w:t>Coordination with Housing/Healthcare</w:t>
            </w:r>
          </w:p>
        </w:tc>
      </w:tr>
      <w:tr w:rsidR="007B7F06" w14:paraId="26C9CF69" w14:textId="77777777" w:rsidTr="007B7F06">
        <w:tc>
          <w:tcPr>
            <w:tcW w:w="1435" w:type="dxa"/>
          </w:tcPr>
          <w:p w14:paraId="751F2BD3" w14:textId="63CFFEFD" w:rsidR="007B7F06" w:rsidRPr="007B7F06" w:rsidRDefault="007B7F06" w:rsidP="00F617D7">
            <w:pPr>
              <w:rPr>
                <w:rFonts w:ascii="Times New Roman" w:hAnsi="Times New Roman" w:cs="Times New Roman"/>
                <w:b/>
                <w:bCs/>
                <w:sz w:val="24"/>
                <w:szCs w:val="24"/>
              </w:rPr>
            </w:pPr>
            <w:r w:rsidRPr="007B7F06">
              <w:rPr>
                <w:rFonts w:ascii="Times New Roman" w:hAnsi="Times New Roman" w:cs="Times New Roman"/>
                <w:b/>
                <w:bCs/>
                <w:sz w:val="24"/>
                <w:szCs w:val="24"/>
              </w:rPr>
              <w:t>200 total</w:t>
            </w:r>
          </w:p>
        </w:tc>
        <w:tc>
          <w:tcPr>
            <w:tcW w:w="5130" w:type="dxa"/>
          </w:tcPr>
          <w:p w14:paraId="47E13C0E" w14:textId="77777777" w:rsidR="007B7F06" w:rsidRDefault="007B7F06" w:rsidP="00F617D7">
            <w:pPr>
              <w:rPr>
                <w:rFonts w:ascii="Times New Roman" w:hAnsi="Times New Roman" w:cs="Times New Roman"/>
                <w:sz w:val="24"/>
                <w:szCs w:val="24"/>
              </w:rPr>
            </w:pPr>
          </w:p>
        </w:tc>
      </w:tr>
    </w:tbl>
    <w:p w14:paraId="18B8D907" w14:textId="77777777" w:rsidR="00615506" w:rsidRPr="00615506" w:rsidRDefault="00615506" w:rsidP="00F617D7">
      <w:pPr>
        <w:rPr>
          <w:rFonts w:ascii="Times New Roman" w:hAnsi="Times New Roman" w:cs="Times New Roman"/>
          <w:sz w:val="24"/>
          <w:szCs w:val="24"/>
        </w:rPr>
      </w:pPr>
    </w:p>
    <w:p w14:paraId="548F499D" w14:textId="3853962D" w:rsidR="00F617D7" w:rsidRPr="004C6C52" w:rsidRDefault="00F617D7" w:rsidP="00F617D7">
      <w:pPr>
        <w:rPr>
          <w:rFonts w:ascii="Times New Roman" w:hAnsi="Times New Roman" w:cs="Times New Roman"/>
          <w:b/>
          <w:bCs/>
          <w:sz w:val="24"/>
          <w:szCs w:val="24"/>
          <w:u w:val="single"/>
        </w:rPr>
      </w:pPr>
      <w:r w:rsidRPr="004C6C52">
        <w:rPr>
          <w:rFonts w:ascii="Times New Roman" w:hAnsi="Times New Roman" w:cs="Times New Roman"/>
          <w:b/>
          <w:bCs/>
          <w:sz w:val="24"/>
          <w:szCs w:val="24"/>
          <w:u w:val="single"/>
        </w:rPr>
        <w:t>Important links:</w:t>
      </w:r>
    </w:p>
    <w:p w14:paraId="1807E893" w14:textId="6DC8A4B3" w:rsidR="00F617D7" w:rsidRPr="000779D5" w:rsidRDefault="00F617D7" w:rsidP="00F617D7">
      <w:pPr>
        <w:pStyle w:val="ListParagraph"/>
        <w:numPr>
          <w:ilvl w:val="0"/>
          <w:numId w:val="4"/>
        </w:numPr>
        <w:rPr>
          <w:rFonts w:ascii="Times New Roman" w:hAnsi="Times New Roman" w:cs="Times New Roman"/>
        </w:rPr>
      </w:pPr>
      <w:r w:rsidRPr="000779D5">
        <w:rPr>
          <w:rFonts w:ascii="Times New Roman" w:hAnsi="Times New Roman" w:cs="Times New Roman"/>
        </w:rPr>
        <w:t xml:space="preserve">Competition page: </w:t>
      </w:r>
      <w:hyperlink r:id="rId10" w:history="1">
        <w:r w:rsidR="004F287D" w:rsidRPr="004F287D">
          <w:rPr>
            <w:color w:val="0000FF"/>
            <w:u w:val="single"/>
          </w:rPr>
          <w:t>View Opportunity | GRANTS.GOV</w:t>
        </w:r>
      </w:hyperlink>
    </w:p>
    <w:p w14:paraId="22E023EE" w14:textId="5D1D74D8" w:rsidR="00845763" w:rsidRPr="00845763" w:rsidRDefault="00F617D7" w:rsidP="00845763">
      <w:pPr>
        <w:pStyle w:val="ListParagraph"/>
        <w:numPr>
          <w:ilvl w:val="0"/>
          <w:numId w:val="4"/>
        </w:numPr>
        <w:rPr>
          <w:rFonts w:ascii="Times New Roman" w:hAnsi="Times New Roman" w:cs="Times New Roman"/>
          <w:color w:val="FF0000"/>
        </w:rPr>
      </w:pPr>
      <w:r w:rsidRPr="000779D5">
        <w:rPr>
          <w:rFonts w:ascii="Times New Roman" w:hAnsi="Times New Roman" w:cs="Times New Roman"/>
        </w:rPr>
        <w:t xml:space="preserve">HUD Ask A Question (AAQ): </w:t>
      </w:r>
      <w:r w:rsidR="00712A90">
        <w:rPr>
          <w:rFonts w:ascii="Times New Roman" w:hAnsi="Times New Roman" w:cs="Times New Roman"/>
        </w:rPr>
        <w:t xml:space="preserve">Email questions to: </w:t>
      </w:r>
      <w:hyperlink r:id="rId11" w:history="1">
        <w:r w:rsidR="00845763" w:rsidRPr="007264AB">
          <w:rPr>
            <w:rStyle w:val="Hyperlink"/>
          </w:rPr>
          <w:t>CoCNOFO@hud.gov</w:t>
        </w:r>
      </w:hyperlink>
    </w:p>
    <w:p w14:paraId="3B9B734B" w14:textId="4EFB89BE" w:rsidR="00845763" w:rsidRPr="00845763" w:rsidRDefault="00F617D7" w:rsidP="00845763">
      <w:pPr>
        <w:pStyle w:val="ListParagraph"/>
        <w:numPr>
          <w:ilvl w:val="0"/>
          <w:numId w:val="4"/>
        </w:numPr>
        <w:rPr>
          <w:rFonts w:ascii="Times New Roman" w:hAnsi="Times New Roman" w:cs="Times New Roman"/>
          <w:color w:val="FF0000"/>
        </w:rPr>
      </w:pPr>
      <w:r w:rsidRPr="000779D5">
        <w:rPr>
          <w:rFonts w:ascii="Times New Roman" w:hAnsi="Times New Roman" w:cs="Times New Roman"/>
        </w:rPr>
        <w:t xml:space="preserve">Hennepin County CoC website: </w:t>
      </w:r>
      <w:hyperlink r:id="rId12" w:history="1">
        <w:r w:rsidR="00845763" w:rsidRPr="00845763">
          <w:rPr>
            <w:rFonts w:ascii="Calibri" w:eastAsia="Times New Roman" w:hAnsi="Calibri" w:cs="Calibri"/>
            <w:color w:val="0000FF"/>
            <w:u w:val="single"/>
          </w:rPr>
          <w:t>https://www.hennepin.us/headinghomehennepin</w:t>
        </w:r>
      </w:hyperlink>
    </w:p>
    <w:p w14:paraId="6CC54DCF" w14:textId="03B3F6C0" w:rsidR="00F617D7" w:rsidRPr="000779D5" w:rsidRDefault="00F617D7" w:rsidP="00845763">
      <w:pPr>
        <w:pStyle w:val="ListParagraph"/>
        <w:rPr>
          <w:rFonts w:ascii="Times New Roman" w:hAnsi="Times New Roman" w:cs="Times New Roman"/>
        </w:rPr>
      </w:pPr>
      <w:r w:rsidRPr="000779D5">
        <w:rPr>
          <w:rFonts w:ascii="Times New Roman" w:hAnsi="Times New Roman" w:cs="Times New Roman"/>
        </w:rPr>
        <w:t>(select FY 20</w:t>
      </w:r>
      <w:r>
        <w:rPr>
          <w:rFonts w:ascii="Times New Roman" w:hAnsi="Times New Roman" w:cs="Times New Roman"/>
        </w:rPr>
        <w:t>2</w:t>
      </w:r>
      <w:r w:rsidR="009114C2">
        <w:rPr>
          <w:rFonts w:ascii="Times New Roman" w:hAnsi="Times New Roman" w:cs="Times New Roman"/>
        </w:rPr>
        <w:t>2</w:t>
      </w:r>
      <w:r w:rsidR="00845763">
        <w:rPr>
          <w:rFonts w:ascii="Times New Roman" w:hAnsi="Times New Roman" w:cs="Times New Roman"/>
        </w:rPr>
        <w:t xml:space="preserve"> CoC</w:t>
      </w:r>
      <w:r w:rsidR="009114C2">
        <w:rPr>
          <w:rFonts w:ascii="Times New Roman" w:hAnsi="Times New Roman" w:cs="Times New Roman"/>
        </w:rPr>
        <w:t xml:space="preserve"> </w:t>
      </w:r>
      <w:r w:rsidRPr="000779D5">
        <w:rPr>
          <w:rFonts w:ascii="Times New Roman" w:hAnsi="Times New Roman" w:cs="Times New Roman"/>
        </w:rPr>
        <w:t>NOF</w:t>
      </w:r>
      <w:r w:rsidR="009114C2">
        <w:rPr>
          <w:rFonts w:ascii="Times New Roman" w:hAnsi="Times New Roman" w:cs="Times New Roman"/>
        </w:rPr>
        <w:t>O</w:t>
      </w:r>
      <w:r w:rsidRPr="000779D5">
        <w:rPr>
          <w:rFonts w:ascii="Times New Roman" w:hAnsi="Times New Roman" w:cs="Times New Roman"/>
        </w:rPr>
        <w:t xml:space="preserve"> </w:t>
      </w:r>
      <w:r w:rsidR="00845763">
        <w:rPr>
          <w:rFonts w:ascii="Times New Roman" w:hAnsi="Times New Roman" w:cs="Times New Roman"/>
        </w:rPr>
        <w:t>tab</w:t>
      </w:r>
      <w:r w:rsidRPr="000779D5">
        <w:rPr>
          <w:rFonts w:ascii="Times New Roman" w:hAnsi="Times New Roman" w:cs="Times New Roman"/>
        </w:rPr>
        <w:t>)</w:t>
      </w:r>
    </w:p>
    <w:p w14:paraId="6C9DC6CA" w14:textId="7EDCF0B5" w:rsidR="001C18F7" w:rsidRPr="004134E5" w:rsidRDefault="008869BE" w:rsidP="00C66449">
      <w:pPr>
        <w:rPr>
          <w:rFonts w:ascii="Times New Roman" w:hAnsi="Times New Roman" w:cs="Times New Roman"/>
          <w:b/>
          <w:bCs/>
          <w:u w:val="single"/>
        </w:rPr>
      </w:pPr>
      <w:r>
        <w:rPr>
          <w:rFonts w:ascii="Times New Roman" w:hAnsi="Times New Roman" w:cs="Times New Roman"/>
          <w:b/>
          <w:bCs/>
          <w:u w:val="single"/>
        </w:rPr>
        <w:t xml:space="preserve">New and </w:t>
      </w:r>
      <w:r w:rsidR="00B15835" w:rsidRPr="004134E5">
        <w:rPr>
          <w:rFonts w:ascii="Times New Roman" w:hAnsi="Times New Roman" w:cs="Times New Roman"/>
          <w:b/>
          <w:bCs/>
          <w:u w:val="single"/>
        </w:rPr>
        <w:t xml:space="preserve">Renewal Project </w:t>
      </w:r>
      <w:r w:rsidR="002A734E">
        <w:rPr>
          <w:rFonts w:ascii="Times New Roman" w:hAnsi="Times New Roman" w:cs="Times New Roman"/>
          <w:b/>
          <w:bCs/>
          <w:u w:val="single"/>
        </w:rPr>
        <w:t xml:space="preserve">Eligibility </w:t>
      </w:r>
      <w:r w:rsidR="00B15835" w:rsidRPr="004134E5">
        <w:rPr>
          <w:rFonts w:ascii="Times New Roman" w:hAnsi="Times New Roman" w:cs="Times New Roman"/>
          <w:b/>
          <w:bCs/>
          <w:u w:val="single"/>
        </w:rPr>
        <w:t>information</w:t>
      </w:r>
      <w:r w:rsidR="004134E5">
        <w:rPr>
          <w:rFonts w:ascii="Times New Roman" w:hAnsi="Times New Roman" w:cs="Times New Roman"/>
          <w:b/>
          <w:bCs/>
          <w:u w:val="single"/>
        </w:rPr>
        <w:t xml:space="preserve"> (</w:t>
      </w:r>
      <w:r w:rsidR="005A4D39" w:rsidRPr="00485AD2">
        <w:rPr>
          <w:rFonts w:ascii="Times New Roman" w:hAnsi="Times New Roman" w:cs="Times New Roman"/>
          <w:b/>
          <w:bCs/>
          <w:u w:val="single"/>
        </w:rPr>
        <w:t>page #</w:t>
      </w:r>
      <w:r w:rsidR="00485AD2">
        <w:rPr>
          <w:rFonts w:ascii="Times New Roman" w:hAnsi="Times New Roman" w:cs="Times New Roman"/>
          <w:b/>
          <w:bCs/>
          <w:u w:val="single"/>
        </w:rPr>
        <w:t xml:space="preserve"> 30</w:t>
      </w:r>
      <w:r w:rsidR="00B40886">
        <w:rPr>
          <w:rFonts w:ascii="Times New Roman" w:hAnsi="Times New Roman" w:cs="Times New Roman"/>
          <w:b/>
          <w:bCs/>
          <w:u w:val="single"/>
        </w:rPr>
        <w:t>-37</w:t>
      </w:r>
      <w:r w:rsidR="00485AD2">
        <w:rPr>
          <w:rFonts w:ascii="Times New Roman" w:hAnsi="Times New Roman" w:cs="Times New Roman"/>
          <w:b/>
          <w:bCs/>
          <w:u w:val="single"/>
        </w:rPr>
        <w:t xml:space="preserve"> &amp; 57 </w:t>
      </w:r>
      <w:r w:rsidR="004134E5">
        <w:rPr>
          <w:rFonts w:ascii="Times New Roman" w:hAnsi="Times New Roman" w:cs="Times New Roman"/>
          <w:b/>
          <w:bCs/>
          <w:u w:val="single"/>
        </w:rPr>
        <w:t>of NOFO)</w:t>
      </w:r>
    </w:p>
    <w:p w14:paraId="180BDCE3" w14:textId="1B888339" w:rsidR="002A734E" w:rsidRDefault="002A734E" w:rsidP="00E1546D">
      <w:pPr>
        <w:pStyle w:val="ListParagraph"/>
        <w:numPr>
          <w:ilvl w:val="0"/>
          <w:numId w:val="28"/>
        </w:numPr>
        <w:rPr>
          <w:rFonts w:ascii="Times New Roman" w:hAnsi="Times New Roman" w:cs="Times New Roman"/>
        </w:rPr>
      </w:pPr>
      <w:r>
        <w:rPr>
          <w:rFonts w:ascii="Times New Roman" w:hAnsi="Times New Roman" w:cs="Times New Roman"/>
        </w:rPr>
        <w:t>SAM Registration Requirement</w:t>
      </w:r>
    </w:p>
    <w:p w14:paraId="0D8A67F1" w14:textId="0B202CA4" w:rsidR="002A734E" w:rsidRDefault="002A734E" w:rsidP="00E1546D">
      <w:pPr>
        <w:pStyle w:val="ListParagraph"/>
        <w:numPr>
          <w:ilvl w:val="0"/>
          <w:numId w:val="28"/>
        </w:numPr>
        <w:rPr>
          <w:rFonts w:ascii="Times New Roman" w:hAnsi="Times New Roman" w:cs="Times New Roman"/>
        </w:rPr>
      </w:pPr>
      <w:r>
        <w:rPr>
          <w:rFonts w:ascii="Times New Roman" w:hAnsi="Times New Roman" w:cs="Times New Roman"/>
        </w:rPr>
        <w:t>UEI Number requirement</w:t>
      </w:r>
    </w:p>
    <w:p w14:paraId="6C5D50FD" w14:textId="4D087051" w:rsidR="006F5F98" w:rsidRDefault="006F5F98" w:rsidP="00E1546D">
      <w:pPr>
        <w:pStyle w:val="ListParagraph"/>
        <w:numPr>
          <w:ilvl w:val="0"/>
          <w:numId w:val="28"/>
        </w:numPr>
        <w:rPr>
          <w:rFonts w:ascii="Times New Roman" w:hAnsi="Times New Roman" w:cs="Times New Roman"/>
        </w:rPr>
      </w:pPr>
      <w:r>
        <w:rPr>
          <w:rFonts w:ascii="Times New Roman" w:hAnsi="Times New Roman" w:cs="Times New Roman"/>
        </w:rPr>
        <w:t xml:space="preserve">Faith based organizations may apply for this award, but cannot discriminate against </w:t>
      </w:r>
      <w:r w:rsidR="00C545AD">
        <w:rPr>
          <w:rFonts w:ascii="Times New Roman" w:hAnsi="Times New Roman" w:cs="Times New Roman"/>
        </w:rPr>
        <w:t>organizations religious character, affiliation, or exercise.</w:t>
      </w:r>
    </w:p>
    <w:p w14:paraId="57C9B0C9" w14:textId="679E408E" w:rsidR="00394376" w:rsidRDefault="00394376" w:rsidP="00E1546D">
      <w:pPr>
        <w:pStyle w:val="ListParagraph"/>
        <w:numPr>
          <w:ilvl w:val="0"/>
          <w:numId w:val="28"/>
        </w:numPr>
        <w:rPr>
          <w:rFonts w:ascii="Times New Roman" w:hAnsi="Times New Roman" w:cs="Times New Roman"/>
        </w:rPr>
      </w:pPr>
      <w:r>
        <w:rPr>
          <w:rFonts w:ascii="Times New Roman" w:hAnsi="Times New Roman" w:cs="Times New Roman"/>
        </w:rPr>
        <w:t xml:space="preserve">Eligibility Requirements for HUD NOFO:  Cannot have outstanding delinquent federal debt, debarments, and/or suspentions, pre-selection review of performance, sufficiency of financial management systems, false statements, mandatory disclosure requirements, Code of Conduct, Prohibition against lobbying activities, </w:t>
      </w:r>
    </w:p>
    <w:p w14:paraId="3D1F7189" w14:textId="53D016F1" w:rsidR="008869BE" w:rsidRDefault="008869BE" w:rsidP="00E1546D">
      <w:pPr>
        <w:pStyle w:val="ListParagraph"/>
        <w:numPr>
          <w:ilvl w:val="0"/>
          <w:numId w:val="28"/>
        </w:numPr>
        <w:rPr>
          <w:rFonts w:ascii="Times New Roman" w:hAnsi="Times New Roman" w:cs="Times New Roman"/>
        </w:rPr>
      </w:pPr>
      <w:r>
        <w:rPr>
          <w:rFonts w:ascii="Times New Roman" w:hAnsi="Times New Roman" w:cs="Times New Roman"/>
        </w:rPr>
        <w:t>Resolution of any Civil Rights matters</w:t>
      </w:r>
    </w:p>
    <w:p w14:paraId="212D5F51" w14:textId="0E8ED19B" w:rsidR="00B15835" w:rsidRDefault="00E1546D" w:rsidP="00E1546D">
      <w:pPr>
        <w:pStyle w:val="ListParagraph"/>
        <w:numPr>
          <w:ilvl w:val="0"/>
          <w:numId w:val="28"/>
        </w:numPr>
        <w:rPr>
          <w:rFonts w:ascii="Times New Roman" w:hAnsi="Times New Roman" w:cs="Times New Roman"/>
        </w:rPr>
      </w:pPr>
      <w:r>
        <w:rPr>
          <w:rFonts w:ascii="Times New Roman" w:hAnsi="Times New Roman" w:cs="Times New Roman"/>
        </w:rPr>
        <w:t>25% match for all projects in required</w:t>
      </w:r>
    </w:p>
    <w:p w14:paraId="05603FBC" w14:textId="4A8614C9" w:rsidR="002D17A6" w:rsidRDefault="002D17A6" w:rsidP="00E1546D">
      <w:pPr>
        <w:pStyle w:val="ListParagraph"/>
        <w:numPr>
          <w:ilvl w:val="0"/>
          <w:numId w:val="28"/>
        </w:numPr>
        <w:rPr>
          <w:rFonts w:ascii="Times New Roman" w:hAnsi="Times New Roman" w:cs="Times New Roman"/>
        </w:rPr>
      </w:pPr>
      <w:r>
        <w:rPr>
          <w:rFonts w:ascii="Times New Roman" w:hAnsi="Times New Roman" w:cs="Times New Roman"/>
        </w:rPr>
        <w:t xml:space="preserve">Project application, charts, </w:t>
      </w:r>
      <w:r w:rsidR="00E67700">
        <w:rPr>
          <w:rFonts w:ascii="Times New Roman" w:hAnsi="Times New Roman" w:cs="Times New Roman"/>
        </w:rPr>
        <w:t>narratives, attachments</w:t>
      </w:r>
    </w:p>
    <w:p w14:paraId="14D847A7" w14:textId="32D8F3BB" w:rsidR="00E67700" w:rsidRDefault="00E67700" w:rsidP="00E1546D">
      <w:pPr>
        <w:pStyle w:val="ListParagraph"/>
        <w:numPr>
          <w:ilvl w:val="0"/>
          <w:numId w:val="28"/>
        </w:numPr>
        <w:rPr>
          <w:rFonts w:ascii="Times New Roman" w:hAnsi="Times New Roman" w:cs="Times New Roman"/>
        </w:rPr>
      </w:pPr>
      <w:r>
        <w:rPr>
          <w:rFonts w:ascii="Times New Roman" w:hAnsi="Times New Roman" w:cs="Times New Roman"/>
        </w:rPr>
        <w:t>Documentation of Applicant and Subrecipient eligibility</w:t>
      </w:r>
    </w:p>
    <w:p w14:paraId="480B10D2" w14:textId="5472297E" w:rsidR="00E67700" w:rsidRDefault="00B9461A" w:rsidP="00E1546D">
      <w:pPr>
        <w:pStyle w:val="ListParagraph"/>
        <w:numPr>
          <w:ilvl w:val="0"/>
          <w:numId w:val="28"/>
        </w:numPr>
        <w:rPr>
          <w:rFonts w:ascii="Times New Roman" w:hAnsi="Times New Roman" w:cs="Times New Roman"/>
        </w:rPr>
      </w:pPr>
      <w:r>
        <w:rPr>
          <w:rFonts w:ascii="Times New Roman" w:hAnsi="Times New Roman" w:cs="Times New Roman"/>
        </w:rPr>
        <w:t>Applicant Code of Conduct</w:t>
      </w:r>
      <w:r w:rsidR="00260D59">
        <w:rPr>
          <w:rFonts w:ascii="Times New Roman" w:hAnsi="Times New Roman" w:cs="Times New Roman"/>
        </w:rPr>
        <w:t xml:space="preserve"> – if the organizations Code of Conduct is </w:t>
      </w:r>
      <w:r w:rsidR="0077390D">
        <w:rPr>
          <w:rFonts w:ascii="Times New Roman" w:hAnsi="Times New Roman" w:cs="Times New Roman"/>
        </w:rPr>
        <w:t xml:space="preserve">not on HUD’s website, the project must attach the Code of Conduct in </w:t>
      </w:r>
      <w:r w:rsidR="002A6114">
        <w:rPr>
          <w:rFonts w:ascii="Times New Roman" w:hAnsi="Times New Roman" w:cs="Times New Roman"/>
        </w:rPr>
        <w:t xml:space="preserve">the Project Applicant Profile in </w:t>
      </w:r>
      <w:r w:rsidR="0077390D">
        <w:rPr>
          <w:rFonts w:ascii="Times New Roman" w:hAnsi="Times New Roman" w:cs="Times New Roman"/>
        </w:rPr>
        <w:t>e-snaps</w:t>
      </w:r>
    </w:p>
    <w:p w14:paraId="71FC3894" w14:textId="5C866511" w:rsidR="00B9461A" w:rsidRDefault="00B9461A" w:rsidP="00E1546D">
      <w:pPr>
        <w:pStyle w:val="ListParagraph"/>
        <w:numPr>
          <w:ilvl w:val="0"/>
          <w:numId w:val="28"/>
        </w:numPr>
        <w:rPr>
          <w:rFonts w:ascii="Times New Roman" w:hAnsi="Times New Roman" w:cs="Times New Roman"/>
        </w:rPr>
      </w:pPr>
      <w:r>
        <w:rPr>
          <w:rFonts w:ascii="Times New Roman" w:hAnsi="Times New Roman" w:cs="Times New Roman"/>
        </w:rPr>
        <w:t>SF-424</w:t>
      </w:r>
    </w:p>
    <w:p w14:paraId="2AE016CB" w14:textId="0AFC193C" w:rsidR="00B9461A" w:rsidRDefault="00CB7C7B" w:rsidP="00E1546D">
      <w:pPr>
        <w:pStyle w:val="ListParagraph"/>
        <w:numPr>
          <w:ilvl w:val="0"/>
          <w:numId w:val="28"/>
        </w:numPr>
        <w:rPr>
          <w:rFonts w:ascii="Times New Roman" w:hAnsi="Times New Roman" w:cs="Times New Roman"/>
        </w:rPr>
      </w:pPr>
      <w:r>
        <w:rPr>
          <w:rFonts w:ascii="Times New Roman" w:hAnsi="Times New Roman" w:cs="Times New Roman"/>
        </w:rPr>
        <w:t>HUD-2880</w:t>
      </w:r>
    </w:p>
    <w:p w14:paraId="0460D7F6" w14:textId="7A69D960" w:rsidR="00CB7C7B" w:rsidRDefault="00CB7C7B" w:rsidP="00E1546D">
      <w:pPr>
        <w:pStyle w:val="ListParagraph"/>
        <w:numPr>
          <w:ilvl w:val="0"/>
          <w:numId w:val="28"/>
        </w:numPr>
        <w:rPr>
          <w:rFonts w:ascii="Times New Roman" w:hAnsi="Times New Roman" w:cs="Times New Roman"/>
        </w:rPr>
      </w:pPr>
      <w:r>
        <w:rPr>
          <w:rFonts w:ascii="Times New Roman" w:hAnsi="Times New Roman" w:cs="Times New Roman"/>
        </w:rPr>
        <w:t>SF-LLL – Disclosure of Lobbying Activities</w:t>
      </w:r>
    </w:p>
    <w:p w14:paraId="4E6D6E5F" w14:textId="1C39040F" w:rsidR="00B9461A" w:rsidRDefault="009B1F22" w:rsidP="00E1546D">
      <w:pPr>
        <w:pStyle w:val="ListParagraph"/>
        <w:numPr>
          <w:ilvl w:val="0"/>
          <w:numId w:val="28"/>
        </w:numPr>
        <w:rPr>
          <w:rFonts w:ascii="Times New Roman" w:hAnsi="Times New Roman" w:cs="Times New Roman"/>
        </w:rPr>
      </w:pPr>
      <w:r>
        <w:rPr>
          <w:rFonts w:ascii="Times New Roman" w:hAnsi="Times New Roman" w:cs="Times New Roman"/>
        </w:rPr>
        <w:t>HUD-50070 – Drug free workplace</w:t>
      </w:r>
    </w:p>
    <w:p w14:paraId="03EA4EC7" w14:textId="4985DB10" w:rsidR="004B2F39" w:rsidRPr="00EE1185" w:rsidRDefault="004134E5" w:rsidP="00BE1E44">
      <w:pPr>
        <w:pStyle w:val="ListParagraph"/>
        <w:numPr>
          <w:ilvl w:val="0"/>
          <w:numId w:val="28"/>
        </w:numPr>
        <w:rPr>
          <w:rFonts w:ascii="Times New Roman" w:hAnsi="Times New Roman" w:cs="Times New Roman"/>
        </w:rPr>
      </w:pPr>
      <w:r>
        <w:rPr>
          <w:rFonts w:ascii="Times New Roman" w:hAnsi="Times New Roman" w:cs="Times New Roman"/>
        </w:rPr>
        <w:t>Applicant Certifications</w:t>
      </w:r>
    </w:p>
    <w:p w14:paraId="19E466CE" w14:textId="77777777" w:rsidR="00E23314" w:rsidRPr="000779D5" w:rsidRDefault="00E23314">
      <w:pPr>
        <w:rPr>
          <w:rFonts w:ascii="Times New Roman" w:hAnsi="Times New Roman" w:cs="Times New Roman"/>
        </w:rPr>
      </w:pPr>
    </w:p>
    <w:sectPr w:rsidR="00E23314" w:rsidRPr="000779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71B8" w14:textId="77777777" w:rsidR="00D40617" w:rsidRDefault="00D40617" w:rsidP="00F6140B">
      <w:pPr>
        <w:spacing w:after="0" w:line="240" w:lineRule="auto"/>
      </w:pPr>
      <w:r>
        <w:separator/>
      </w:r>
    </w:p>
  </w:endnote>
  <w:endnote w:type="continuationSeparator" w:id="0">
    <w:p w14:paraId="318EA1FC" w14:textId="77777777" w:rsidR="00D40617" w:rsidRDefault="00D40617" w:rsidP="00F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8BAB" w14:textId="77777777" w:rsidR="00BB1F97" w:rsidRDefault="00BB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552383"/>
      <w:docPartObj>
        <w:docPartGallery w:val="Page Numbers (Bottom of Page)"/>
        <w:docPartUnique/>
      </w:docPartObj>
    </w:sdtPr>
    <w:sdtEndPr>
      <w:rPr>
        <w:color w:val="7F7F7F" w:themeColor="background1" w:themeShade="7F"/>
        <w:spacing w:val="60"/>
      </w:rPr>
    </w:sdtEndPr>
    <w:sdtContent>
      <w:p w14:paraId="015F943C" w14:textId="77777777" w:rsidR="00BB1F97" w:rsidRDefault="00BB1F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0F4F" w:rsidRPr="00FD0F4F">
          <w:rPr>
            <w:b/>
            <w:bCs/>
            <w:noProof/>
          </w:rPr>
          <w:t>5</w:t>
        </w:r>
        <w:r>
          <w:rPr>
            <w:b/>
            <w:bCs/>
            <w:noProof/>
          </w:rPr>
          <w:fldChar w:fldCharType="end"/>
        </w:r>
        <w:r>
          <w:rPr>
            <w:b/>
            <w:bCs/>
          </w:rPr>
          <w:t xml:space="preserve"> | </w:t>
        </w:r>
        <w:r>
          <w:rPr>
            <w:color w:val="7F7F7F" w:themeColor="background1" w:themeShade="7F"/>
            <w:spacing w:val="60"/>
          </w:rPr>
          <w:t>Page</w:t>
        </w:r>
      </w:p>
    </w:sdtContent>
  </w:sdt>
  <w:p w14:paraId="4AC6732D" w14:textId="77777777" w:rsidR="00BB1F97" w:rsidRDefault="00BB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F1CA" w14:textId="77777777" w:rsidR="00BB1F97" w:rsidRDefault="00BB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7FE6" w14:textId="77777777" w:rsidR="00D40617" w:rsidRDefault="00D40617" w:rsidP="00F6140B">
      <w:pPr>
        <w:spacing w:after="0" w:line="240" w:lineRule="auto"/>
      </w:pPr>
      <w:r>
        <w:separator/>
      </w:r>
    </w:p>
  </w:footnote>
  <w:footnote w:type="continuationSeparator" w:id="0">
    <w:p w14:paraId="36163EC2" w14:textId="77777777" w:rsidR="00D40617" w:rsidRDefault="00D40617" w:rsidP="00F6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2D21" w14:textId="77777777" w:rsidR="00BB1F97" w:rsidRDefault="00BB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064381"/>
      <w:docPartObj>
        <w:docPartGallery w:val="Watermarks"/>
        <w:docPartUnique/>
      </w:docPartObj>
    </w:sdtPr>
    <w:sdtEndPr/>
    <w:sdtContent>
      <w:p w14:paraId="078FDB6E" w14:textId="77777777" w:rsidR="00F6140B" w:rsidRDefault="00383796">
        <w:pPr>
          <w:pStyle w:val="Header"/>
        </w:pPr>
        <w:r>
          <w:rPr>
            <w:noProof/>
          </w:rPr>
          <w:pict w14:anchorId="22CF7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C55C" w14:textId="77777777" w:rsidR="00BB1F97" w:rsidRDefault="00BB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1DA"/>
    <w:multiLevelType w:val="hybridMultilevel"/>
    <w:tmpl w:val="F7B8EAB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338061E"/>
    <w:multiLevelType w:val="hybridMultilevel"/>
    <w:tmpl w:val="DB54B0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481993"/>
    <w:multiLevelType w:val="hybridMultilevel"/>
    <w:tmpl w:val="BDBA0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9255CD"/>
    <w:multiLevelType w:val="hybridMultilevel"/>
    <w:tmpl w:val="A93C0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502"/>
    <w:multiLevelType w:val="hybridMultilevel"/>
    <w:tmpl w:val="355A46D8"/>
    <w:lvl w:ilvl="0" w:tplc="2E48F4FE">
      <w:start w:val="1"/>
      <w:numFmt w:val="bullet"/>
      <w:lvlText w:val=""/>
      <w:lvlJc w:val="left"/>
      <w:pPr>
        <w:tabs>
          <w:tab w:val="num" w:pos="720"/>
        </w:tabs>
        <w:ind w:left="720" w:hanging="360"/>
      </w:pPr>
      <w:rPr>
        <w:rFonts w:ascii="Wingdings" w:hAnsi="Wingdings" w:hint="default"/>
      </w:rPr>
    </w:lvl>
    <w:lvl w:ilvl="1" w:tplc="33C8D19C">
      <w:start w:val="1"/>
      <w:numFmt w:val="bullet"/>
      <w:lvlText w:val=""/>
      <w:lvlJc w:val="left"/>
      <w:pPr>
        <w:tabs>
          <w:tab w:val="num" w:pos="1440"/>
        </w:tabs>
        <w:ind w:left="1440" w:hanging="360"/>
      </w:pPr>
      <w:rPr>
        <w:rFonts w:ascii="Symbol" w:hAnsi="Symbol" w:hint="default"/>
        <w:color w:val="auto"/>
      </w:rPr>
    </w:lvl>
    <w:lvl w:ilvl="2" w:tplc="85581A50" w:tentative="1">
      <w:start w:val="1"/>
      <w:numFmt w:val="bullet"/>
      <w:lvlText w:val=""/>
      <w:lvlJc w:val="left"/>
      <w:pPr>
        <w:tabs>
          <w:tab w:val="num" w:pos="2160"/>
        </w:tabs>
        <w:ind w:left="2160" w:hanging="360"/>
      </w:pPr>
      <w:rPr>
        <w:rFonts w:ascii="Wingdings" w:hAnsi="Wingdings" w:hint="default"/>
      </w:rPr>
    </w:lvl>
    <w:lvl w:ilvl="3" w:tplc="BD8E7310" w:tentative="1">
      <w:start w:val="1"/>
      <w:numFmt w:val="bullet"/>
      <w:lvlText w:val=""/>
      <w:lvlJc w:val="left"/>
      <w:pPr>
        <w:tabs>
          <w:tab w:val="num" w:pos="2880"/>
        </w:tabs>
        <w:ind w:left="2880" w:hanging="360"/>
      </w:pPr>
      <w:rPr>
        <w:rFonts w:ascii="Wingdings" w:hAnsi="Wingdings" w:hint="default"/>
      </w:rPr>
    </w:lvl>
    <w:lvl w:ilvl="4" w:tplc="BFEA0570" w:tentative="1">
      <w:start w:val="1"/>
      <w:numFmt w:val="bullet"/>
      <w:lvlText w:val=""/>
      <w:lvlJc w:val="left"/>
      <w:pPr>
        <w:tabs>
          <w:tab w:val="num" w:pos="3600"/>
        </w:tabs>
        <w:ind w:left="3600" w:hanging="360"/>
      </w:pPr>
      <w:rPr>
        <w:rFonts w:ascii="Wingdings" w:hAnsi="Wingdings" w:hint="default"/>
      </w:rPr>
    </w:lvl>
    <w:lvl w:ilvl="5" w:tplc="1786E80C" w:tentative="1">
      <w:start w:val="1"/>
      <w:numFmt w:val="bullet"/>
      <w:lvlText w:val=""/>
      <w:lvlJc w:val="left"/>
      <w:pPr>
        <w:tabs>
          <w:tab w:val="num" w:pos="4320"/>
        </w:tabs>
        <w:ind w:left="4320" w:hanging="360"/>
      </w:pPr>
      <w:rPr>
        <w:rFonts w:ascii="Wingdings" w:hAnsi="Wingdings" w:hint="default"/>
      </w:rPr>
    </w:lvl>
    <w:lvl w:ilvl="6" w:tplc="B67C2CAE" w:tentative="1">
      <w:start w:val="1"/>
      <w:numFmt w:val="bullet"/>
      <w:lvlText w:val=""/>
      <w:lvlJc w:val="left"/>
      <w:pPr>
        <w:tabs>
          <w:tab w:val="num" w:pos="5040"/>
        </w:tabs>
        <w:ind w:left="5040" w:hanging="360"/>
      </w:pPr>
      <w:rPr>
        <w:rFonts w:ascii="Wingdings" w:hAnsi="Wingdings" w:hint="default"/>
      </w:rPr>
    </w:lvl>
    <w:lvl w:ilvl="7" w:tplc="9D52CC5C" w:tentative="1">
      <w:start w:val="1"/>
      <w:numFmt w:val="bullet"/>
      <w:lvlText w:val=""/>
      <w:lvlJc w:val="left"/>
      <w:pPr>
        <w:tabs>
          <w:tab w:val="num" w:pos="5760"/>
        </w:tabs>
        <w:ind w:left="5760" w:hanging="360"/>
      </w:pPr>
      <w:rPr>
        <w:rFonts w:ascii="Wingdings" w:hAnsi="Wingdings" w:hint="default"/>
      </w:rPr>
    </w:lvl>
    <w:lvl w:ilvl="8" w:tplc="726E3F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95983"/>
    <w:multiLevelType w:val="hybridMultilevel"/>
    <w:tmpl w:val="8E200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B7FF3"/>
    <w:multiLevelType w:val="hybridMultilevel"/>
    <w:tmpl w:val="DF1A88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D03BDA"/>
    <w:multiLevelType w:val="hybridMultilevel"/>
    <w:tmpl w:val="D068D6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4164F2"/>
    <w:multiLevelType w:val="hybridMultilevel"/>
    <w:tmpl w:val="27CC3632"/>
    <w:lvl w:ilvl="0" w:tplc="E1180250">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16199"/>
    <w:multiLevelType w:val="hybridMultilevel"/>
    <w:tmpl w:val="DCEAA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2C0282"/>
    <w:multiLevelType w:val="hybridMultilevel"/>
    <w:tmpl w:val="D0DAF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686146"/>
    <w:multiLevelType w:val="hybridMultilevel"/>
    <w:tmpl w:val="C0E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43807"/>
    <w:multiLevelType w:val="hybridMultilevel"/>
    <w:tmpl w:val="5FD4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D764D"/>
    <w:multiLevelType w:val="hybridMultilevel"/>
    <w:tmpl w:val="5F86F946"/>
    <w:lvl w:ilvl="0" w:tplc="5F50010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color w:val="auto"/>
      </w:rPr>
    </w:lvl>
    <w:lvl w:ilvl="2" w:tplc="26308CA4">
      <w:start w:val="1"/>
      <w:numFmt w:val="decimal"/>
      <w:lvlText w:val="%3.)"/>
      <w:lvlJc w:val="left"/>
      <w:pPr>
        <w:ind w:left="2160" w:hanging="360"/>
      </w:pPr>
      <w:rPr>
        <w:rFonts w:hint="default"/>
        <w:color w:val="auto"/>
      </w:rPr>
    </w:lvl>
    <w:lvl w:ilvl="3" w:tplc="95848C00">
      <w:start w:val="1"/>
      <w:numFmt w:val="decimal"/>
      <w:lvlText w:val="%4."/>
      <w:lvlJc w:val="left"/>
      <w:pPr>
        <w:ind w:left="2880" w:hanging="360"/>
      </w:pPr>
      <w:rPr>
        <w:rFonts w:hint="default"/>
      </w:rPr>
    </w:lvl>
    <w:lvl w:ilvl="4" w:tplc="E7CE8F62" w:tentative="1">
      <w:start w:val="1"/>
      <w:numFmt w:val="bullet"/>
      <w:lvlText w:val=""/>
      <w:lvlJc w:val="left"/>
      <w:pPr>
        <w:tabs>
          <w:tab w:val="num" w:pos="3600"/>
        </w:tabs>
        <w:ind w:left="3600" w:hanging="360"/>
      </w:pPr>
      <w:rPr>
        <w:rFonts w:ascii="Wingdings" w:hAnsi="Wingdings" w:hint="default"/>
      </w:rPr>
    </w:lvl>
    <w:lvl w:ilvl="5" w:tplc="1C0A1940" w:tentative="1">
      <w:start w:val="1"/>
      <w:numFmt w:val="bullet"/>
      <w:lvlText w:val=""/>
      <w:lvlJc w:val="left"/>
      <w:pPr>
        <w:tabs>
          <w:tab w:val="num" w:pos="4320"/>
        </w:tabs>
        <w:ind w:left="4320" w:hanging="360"/>
      </w:pPr>
      <w:rPr>
        <w:rFonts w:ascii="Wingdings" w:hAnsi="Wingdings" w:hint="default"/>
      </w:rPr>
    </w:lvl>
    <w:lvl w:ilvl="6" w:tplc="0980F148" w:tentative="1">
      <w:start w:val="1"/>
      <w:numFmt w:val="bullet"/>
      <w:lvlText w:val=""/>
      <w:lvlJc w:val="left"/>
      <w:pPr>
        <w:tabs>
          <w:tab w:val="num" w:pos="5040"/>
        </w:tabs>
        <w:ind w:left="5040" w:hanging="360"/>
      </w:pPr>
      <w:rPr>
        <w:rFonts w:ascii="Wingdings" w:hAnsi="Wingdings" w:hint="default"/>
      </w:rPr>
    </w:lvl>
    <w:lvl w:ilvl="7" w:tplc="F00C9300" w:tentative="1">
      <w:start w:val="1"/>
      <w:numFmt w:val="bullet"/>
      <w:lvlText w:val=""/>
      <w:lvlJc w:val="left"/>
      <w:pPr>
        <w:tabs>
          <w:tab w:val="num" w:pos="5760"/>
        </w:tabs>
        <w:ind w:left="5760" w:hanging="360"/>
      </w:pPr>
      <w:rPr>
        <w:rFonts w:ascii="Wingdings" w:hAnsi="Wingdings" w:hint="default"/>
      </w:rPr>
    </w:lvl>
    <w:lvl w:ilvl="8" w:tplc="FB8022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06F95"/>
    <w:multiLevelType w:val="hybridMultilevel"/>
    <w:tmpl w:val="D382B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02A03"/>
    <w:multiLevelType w:val="hybridMultilevel"/>
    <w:tmpl w:val="C30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B231D"/>
    <w:multiLevelType w:val="hybridMultilevel"/>
    <w:tmpl w:val="A3207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577270"/>
    <w:multiLevelType w:val="hybridMultilevel"/>
    <w:tmpl w:val="C4C06FD6"/>
    <w:lvl w:ilvl="0" w:tplc="0C78A3EE">
      <w:start w:val="1"/>
      <w:numFmt w:val="bullet"/>
      <w:lvlText w:val=""/>
      <w:lvlJc w:val="left"/>
      <w:pPr>
        <w:tabs>
          <w:tab w:val="num" w:pos="720"/>
        </w:tabs>
        <w:ind w:left="720" w:hanging="360"/>
      </w:pPr>
      <w:rPr>
        <w:rFonts w:ascii="Wingdings" w:hAnsi="Wingdings" w:hint="default"/>
      </w:rPr>
    </w:lvl>
    <w:lvl w:ilvl="1" w:tplc="FAB81232">
      <w:start w:val="1"/>
      <w:numFmt w:val="lowerLetter"/>
      <w:lvlText w:val="%2."/>
      <w:lvlJc w:val="left"/>
      <w:pPr>
        <w:tabs>
          <w:tab w:val="num" w:pos="1440"/>
        </w:tabs>
        <w:ind w:left="1440" w:hanging="360"/>
      </w:pPr>
      <w:rPr>
        <w:rFonts w:hint="default"/>
        <w:color w:val="auto"/>
      </w:rPr>
    </w:lvl>
    <w:lvl w:ilvl="2" w:tplc="3E1063D6" w:tentative="1">
      <w:start w:val="1"/>
      <w:numFmt w:val="bullet"/>
      <w:lvlText w:val=""/>
      <w:lvlJc w:val="left"/>
      <w:pPr>
        <w:tabs>
          <w:tab w:val="num" w:pos="2160"/>
        </w:tabs>
        <w:ind w:left="2160" w:hanging="360"/>
      </w:pPr>
      <w:rPr>
        <w:rFonts w:ascii="Wingdings" w:hAnsi="Wingdings" w:hint="default"/>
      </w:rPr>
    </w:lvl>
    <w:lvl w:ilvl="3" w:tplc="62F83B88" w:tentative="1">
      <w:start w:val="1"/>
      <w:numFmt w:val="bullet"/>
      <w:lvlText w:val=""/>
      <w:lvlJc w:val="left"/>
      <w:pPr>
        <w:tabs>
          <w:tab w:val="num" w:pos="2880"/>
        </w:tabs>
        <w:ind w:left="2880" w:hanging="360"/>
      </w:pPr>
      <w:rPr>
        <w:rFonts w:ascii="Wingdings" w:hAnsi="Wingdings" w:hint="default"/>
      </w:rPr>
    </w:lvl>
    <w:lvl w:ilvl="4" w:tplc="414093F8" w:tentative="1">
      <w:start w:val="1"/>
      <w:numFmt w:val="bullet"/>
      <w:lvlText w:val=""/>
      <w:lvlJc w:val="left"/>
      <w:pPr>
        <w:tabs>
          <w:tab w:val="num" w:pos="3600"/>
        </w:tabs>
        <w:ind w:left="3600" w:hanging="360"/>
      </w:pPr>
      <w:rPr>
        <w:rFonts w:ascii="Wingdings" w:hAnsi="Wingdings" w:hint="default"/>
      </w:rPr>
    </w:lvl>
    <w:lvl w:ilvl="5" w:tplc="2A6001B2" w:tentative="1">
      <w:start w:val="1"/>
      <w:numFmt w:val="bullet"/>
      <w:lvlText w:val=""/>
      <w:lvlJc w:val="left"/>
      <w:pPr>
        <w:tabs>
          <w:tab w:val="num" w:pos="4320"/>
        </w:tabs>
        <w:ind w:left="4320" w:hanging="360"/>
      </w:pPr>
      <w:rPr>
        <w:rFonts w:ascii="Wingdings" w:hAnsi="Wingdings" w:hint="default"/>
      </w:rPr>
    </w:lvl>
    <w:lvl w:ilvl="6" w:tplc="5B183B0C" w:tentative="1">
      <w:start w:val="1"/>
      <w:numFmt w:val="bullet"/>
      <w:lvlText w:val=""/>
      <w:lvlJc w:val="left"/>
      <w:pPr>
        <w:tabs>
          <w:tab w:val="num" w:pos="5040"/>
        </w:tabs>
        <w:ind w:left="5040" w:hanging="360"/>
      </w:pPr>
      <w:rPr>
        <w:rFonts w:ascii="Wingdings" w:hAnsi="Wingdings" w:hint="default"/>
      </w:rPr>
    </w:lvl>
    <w:lvl w:ilvl="7" w:tplc="B35C4982" w:tentative="1">
      <w:start w:val="1"/>
      <w:numFmt w:val="bullet"/>
      <w:lvlText w:val=""/>
      <w:lvlJc w:val="left"/>
      <w:pPr>
        <w:tabs>
          <w:tab w:val="num" w:pos="5760"/>
        </w:tabs>
        <w:ind w:left="5760" w:hanging="360"/>
      </w:pPr>
      <w:rPr>
        <w:rFonts w:ascii="Wingdings" w:hAnsi="Wingdings" w:hint="default"/>
      </w:rPr>
    </w:lvl>
    <w:lvl w:ilvl="8" w:tplc="97FAFE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53540"/>
    <w:multiLevelType w:val="hybridMultilevel"/>
    <w:tmpl w:val="E20ED1B0"/>
    <w:lvl w:ilvl="0" w:tplc="D868A5E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F1529DFC" w:tentative="1">
      <w:start w:val="1"/>
      <w:numFmt w:val="bullet"/>
      <w:lvlText w:val=""/>
      <w:lvlJc w:val="left"/>
      <w:pPr>
        <w:tabs>
          <w:tab w:val="num" w:pos="2880"/>
        </w:tabs>
        <w:ind w:left="2880" w:hanging="360"/>
      </w:pPr>
      <w:rPr>
        <w:rFonts w:ascii="Wingdings" w:hAnsi="Wingdings" w:hint="default"/>
      </w:rPr>
    </w:lvl>
    <w:lvl w:ilvl="4" w:tplc="738E9270" w:tentative="1">
      <w:start w:val="1"/>
      <w:numFmt w:val="bullet"/>
      <w:lvlText w:val=""/>
      <w:lvlJc w:val="left"/>
      <w:pPr>
        <w:tabs>
          <w:tab w:val="num" w:pos="3600"/>
        </w:tabs>
        <w:ind w:left="3600" w:hanging="360"/>
      </w:pPr>
      <w:rPr>
        <w:rFonts w:ascii="Wingdings" w:hAnsi="Wingdings" w:hint="default"/>
      </w:rPr>
    </w:lvl>
    <w:lvl w:ilvl="5" w:tplc="4496A0FC" w:tentative="1">
      <w:start w:val="1"/>
      <w:numFmt w:val="bullet"/>
      <w:lvlText w:val=""/>
      <w:lvlJc w:val="left"/>
      <w:pPr>
        <w:tabs>
          <w:tab w:val="num" w:pos="4320"/>
        </w:tabs>
        <w:ind w:left="4320" w:hanging="360"/>
      </w:pPr>
      <w:rPr>
        <w:rFonts w:ascii="Wingdings" w:hAnsi="Wingdings" w:hint="default"/>
      </w:rPr>
    </w:lvl>
    <w:lvl w:ilvl="6" w:tplc="787A5C4C" w:tentative="1">
      <w:start w:val="1"/>
      <w:numFmt w:val="bullet"/>
      <w:lvlText w:val=""/>
      <w:lvlJc w:val="left"/>
      <w:pPr>
        <w:tabs>
          <w:tab w:val="num" w:pos="5040"/>
        </w:tabs>
        <w:ind w:left="5040" w:hanging="360"/>
      </w:pPr>
      <w:rPr>
        <w:rFonts w:ascii="Wingdings" w:hAnsi="Wingdings" w:hint="default"/>
      </w:rPr>
    </w:lvl>
    <w:lvl w:ilvl="7" w:tplc="252690CA" w:tentative="1">
      <w:start w:val="1"/>
      <w:numFmt w:val="bullet"/>
      <w:lvlText w:val=""/>
      <w:lvlJc w:val="left"/>
      <w:pPr>
        <w:tabs>
          <w:tab w:val="num" w:pos="5760"/>
        </w:tabs>
        <w:ind w:left="5760" w:hanging="360"/>
      </w:pPr>
      <w:rPr>
        <w:rFonts w:ascii="Wingdings" w:hAnsi="Wingdings" w:hint="default"/>
      </w:rPr>
    </w:lvl>
    <w:lvl w:ilvl="8" w:tplc="2796F8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15CD4"/>
    <w:multiLevelType w:val="hybridMultilevel"/>
    <w:tmpl w:val="F15E348C"/>
    <w:lvl w:ilvl="0" w:tplc="2C1C93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F207D"/>
    <w:multiLevelType w:val="multilevel"/>
    <w:tmpl w:val="90D00466"/>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C592C"/>
    <w:multiLevelType w:val="hybridMultilevel"/>
    <w:tmpl w:val="64B4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51DE3"/>
    <w:multiLevelType w:val="hybridMultilevel"/>
    <w:tmpl w:val="8ABA9D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54199B"/>
    <w:multiLevelType w:val="hybridMultilevel"/>
    <w:tmpl w:val="02467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876B4"/>
    <w:multiLevelType w:val="hybridMultilevel"/>
    <w:tmpl w:val="5016C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24CAE"/>
    <w:multiLevelType w:val="hybridMultilevel"/>
    <w:tmpl w:val="D6EA6A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D1B711F"/>
    <w:multiLevelType w:val="hybridMultilevel"/>
    <w:tmpl w:val="15FE1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35F46"/>
    <w:multiLevelType w:val="hybridMultilevel"/>
    <w:tmpl w:val="5106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1389F"/>
    <w:multiLevelType w:val="hybridMultilevel"/>
    <w:tmpl w:val="C5607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8F05EAA"/>
    <w:multiLevelType w:val="hybridMultilevel"/>
    <w:tmpl w:val="BFF2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4"/>
  </w:num>
  <w:num w:numId="4">
    <w:abstractNumId w:val="19"/>
  </w:num>
  <w:num w:numId="5">
    <w:abstractNumId w:val="9"/>
  </w:num>
  <w:num w:numId="6">
    <w:abstractNumId w:val="22"/>
  </w:num>
  <w:num w:numId="7">
    <w:abstractNumId w:val="2"/>
  </w:num>
  <w:num w:numId="8">
    <w:abstractNumId w:val="10"/>
  </w:num>
  <w:num w:numId="9">
    <w:abstractNumId w:val="23"/>
  </w:num>
  <w:num w:numId="10">
    <w:abstractNumId w:val="20"/>
  </w:num>
  <w:num w:numId="11">
    <w:abstractNumId w:val="17"/>
  </w:num>
  <w:num w:numId="12">
    <w:abstractNumId w:val="13"/>
  </w:num>
  <w:num w:numId="13">
    <w:abstractNumId w:val="18"/>
  </w:num>
  <w:num w:numId="14">
    <w:abstractNumId w:val="4"/>
  </w:num>
  <w:num w:numId="15">
    <w:abstractNumId w:val="26"/>
  </w:num>
  <w:num w:numId="16">
    <w:abstractNumId w:val="15"/>
  </w:num>
  <w:num w:numId="17">
    <w:abstractNumId w:val="29"/>
  </w:num>
  <w:num w:numId="18">
    <w:abstractNumId w:val="11"/>
  </w:num>
  <w:num w:numId="19">
    <w:abstractNumId w:val="7"/>
  </w:num>
  <w:num w:numId="20">
    <w:abstractNumId w:val="25"/>
  </w:num>
  <w:num w:numId="21">
    <w:abstractNumId w:val="5"/>
  </w:num>
  <w:num w:numId="22">
    <w:abstractNumId w:val="16"/>
  </w:num>
  <w:num w:numId="23">
    <w:abstractNumId w:val="28"/>
  </w:num>
  <w:num w:numId="24">
    <w:abstractNumId w:val="8"/>
  </w:num>
  <w:num w:numId="25">
    <w:abstractNumId w:val="6"/>
  </w:num>
  <w:num w:numId="26">
    <w:abstractNumId w:val="1"/>
  </w:num>
  <w:num w:numId="27">
    <w:abstractNumId w:val="0"/>
  </w:num>
  <w:num w:numId="28">
    <w:abstractNumId w:val="14"/>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14"/>
    <w:rsid w:val="00002B96"/>
    <w:rsid w:val="000119CF"/>
    <w:rsid w:val="00016373"/>
    <w:rsid w:val="0002125E"/>
    <w:rsid w:val="000218BF"/>
    <w:rsid w:val="000224F5"/>
    <w:rsid w:val="00026C72"/>
    <w:rsid w:val="0002736F"/>
    <w:rsid w:val="00031D14"/>
    <w:rsid w:val="00034392"/>
    <w:rsid w:val="000401F8"/>
    <w:rsid w:val="000402A3"/>
    <w:rsid w:val="00044A27"/>
    <w:rsid w:val="0005144C"/>
    <w:rsid w:val="00051622"/>
    <w:rsid w:val="00061D26"/>
    <w:rsid w:val="0006772E"/>
    <w:rsid w:val="000706C1"/>
    <w:rsid w:val="00073820"/>
    <w:rsid w:val="0007469A"/>
    <w:rsid w:val="000779D5"/>
    <w:rsid w:val="00081A34"/>
    <w:rsid w:val="00085166"/>
    <w:rsid w:val="00093E6F"/>
    <w:rsid w:val="000944CB"/>
    <w:rsid w:val="000A3DD7"/>
    <w:rsid w:val="000B5105"/>
    <w:rsid w:val="000C3AB2"/>
    <w:rsid w:val="000D67D7"/>
    <w:rsid w:val="000E36A6"/>
    <w:rsid w:val="000E7193"/>
    <w:rsid w:val="000F0674"/>
    <w:rsid w:val="000F0D8B"/>
    <w:rsid w:val="000F5C65"/>
    <w:rsid w:val="00100142"/>
    <w:rsid w:val="00100F4B"/>
    <w:rsid w:val="00101DED"/>
    <w:rsid w:val="0010792A"/>
    <w:rsid w:val="00116E8C"/>
    <w:rsid w:val="0011768F"/>
    <w:rsid w:val="00120D62"/>
    <w:rsid w:val="001211F4"/>
    <w:rsid w:val="00123354"/>
    <w:rsid w:val="00124DBD"/>
    <w:rsid w:val="00126DB5"/>
    <w:rsid w:val="00127F3B"/>
    <w:rsid w:val="001450E5"/>
    <w:rsid w:val="00154737"/>
    <w:rsid w:val="00155675"/>
    <w:rsid w:val="00170E9B"/>
    <w:rsid w:val="001765B9"/>
    <w:rsid w:val="001802C9"/>
    <w:rsid w:val="00187C67"/>
    <w:rsid w:val="001969ED"/>
    <w:rsid w:val="001A7CC7"/>
    <w:rsid w:val="001B09CD"/>
    <w:rsid w:val="001B755D"/>
    <w:rsid w:val="001C1126"/>
    <w:rsid w:val="001C18F7"/>
    <w:rsid w:val="001C420C"/>
    <w:rsid w:val="001C52E7"/>
    <w:rsid w:val="001C7484"/>
    <w:rsid w:val="001D1D89"/>
    <w:rsid w:val="001E6FF0"/>
    <w:rsid w:val="001E7003"/>
    <w:rsid w:val="001F2BF7"/>
    <w:rsid w:val="001F49BB"/>
    <w:rsid w:val="001F75EF"/>
    <w:rsid w:val="00200F15"/>
    <w:rsid w:val="002016AF"/>
    <w:rsid w:val="00205F2E"/>
    <w:rsid w:val="00214FC2"/>
    <w:rsid w:val="0021519C"/>
    <w:rsid w:val="00215BC8"/>
    <w:rsid w:val="00236863"/>
    <w:rsid w:val="00244D50"/>
    <w:rsid w:val="00252F9A"/>
    <w:rsid w:val="00253AEF"/>
    <w:rsid w:val="00253E05"/>
    <w:rsid w:val="002541E9"/>
    <w:rsid w:val="00260D59"/>
    <w:rsid w:val="00261275"/>
    <w:rsid w:val="00273422"/>
    <w:rsid w:val="00277E92"/>
    <w:rsid w:val="002801BA"/>
    <w:rsid w:val="002832ED"/>
    <w:rsid w:val="00284A72"/>
    <w:rsid w:val="00285C06"/>
    <w:rsid w:val="00287D4C"/>
    <w:rsid w:val="002917D9"/>
    <w:rsid w:val="002925EE"/>
    <w:rsid w:val="002A18CA"/>
    <w:rsid w:val="002A6114"/>
    <w:rsid w:val="002A734E"/>
    <w:rsid w:val="002A76D0"/>
    <w:rsid w:val="002B635E"/>
    <w:rsid w:val="002C3856"/>
    <w:rsid w:val="002C5FF3"/>
    <w:rsid w:val="002C657F"/>
    <w:rsid w:val="002D1143"/>
    <w:rsid w:val="002D1468"/>
    <w:rsid w:val="002D17A6"/>
    <w:rsid w:val="002D2764"/>
    <w:rsid w:val="002D6AFE"/>
    <w:rsid w:val="002D7587"/>
    <w:rsid w:val="002E1BF0"/>
    <w:rsid w:val="002E3359"/>
    <w:rsid w:val="002E39B7"/>
    <w:rsid w:val="002F2308"/>
    <w:rsid w:val="002F4CD0"/>
    <w:rsid w:val="00306043"/>
    <w:rsid w:val="003107B4"/>
    <w:rsid w:val="0031747A"/>
    <w:rsid w:val="003179A4"/>
    <w:rsid w:val="00320433"/>
    <w:rsid w:val="00333208"/>
    <w:rsid w:val="0033605A"/>
    <w:rsid w:val="00337911"/>
    <w:rsid w:val="0034489F"/>
    <w:rsid w:val="0035164B"/>
    <w:rsid w:val="00351855"/>
    <w:rsid w:val="00357D41"/>
    <w:rsid w:val="003601CC"/>
    <w:rsid w:val="003636FB"/>
    <w:rsid w:val="00373B25"/>
    <w:rsid w:val="00375A15"/>
    <w:rsid w:val="00383796"/>
    <w:rsid w:val="00384492"/>
    <w:rsid w:val="00385134"/>
    <w:rsid w:val="0039291A"/>
    <w:rsid w:val="00394376"/>
    <w:rsid w:val="003956F4"/>
    <w:rsid w:val="003A7ED7"/>
    <w:rsid w:val="003C2795"/>
    <w:rsid w:val="003C377C"/>
    <w:rsid w:val="003C624F"/>
    <w:rsid w:val="003D1381"/>
    <w:rsid w:val="003D64E9"/>
    <w:rsid w:val="003D6FD4"/>
    <w:rsid w:val="003F0F4A"/>
    <w:rsid w:val="003F0FA9"/>
    <w:rsid w:val="003F77DA"/>
    <w:rsid w:val="004023AC"/>
    <w:rsid w:val="004122E6"/>
    <w:rsid w:val="00412D34"/>
    <w:rsid w:val="00412FCE"/>
    <w:rsid w:val="004134E5"/>
    <w:rsid w:val="0041515D"/>
    <w:rsid w:val="0042262B"/>
    <w:rsid w:val="00423ADB"/>
    <w:rsid w:val="00434366"/>
    <w:rsid w:val="0043458D"/>
    <w:rsid w:val="004439B7"/>
    <w:rsid w:val="00445909"/>
    <w:rsid w:val="00445CA6"/>
    <w:rsid w:val="00446F94"/>
    <w:rsid w:val="004478B0"/>
    <w:rsid w:val="00450049"/>
    <w:rsid w:val="004539F0"/>
    <w:rsid w:val="00453FB8"/>
    <w:rsid w:val="00454AFD"/>
    <w:rsid w:val="00455FC5"/>
    <w:rsid w:val="004609B3"/>
    <w:rsid w:val="004660B1"/>
    <w:rsid w:val="004701B1"/>
    <w:rsid w:val="00482D85"/>
    <w:rsid w:val="0048374F"/>
    <w:rsid w:val="00485AD2"/>
    <w:rsid w:val="00485EFD"/>
    <w:rsid w:val="00487289"/>
    <w:rsid w:val="004A5ED8"/>
    <w:rsid w:val="004A6630"/>
    <w:rsid w:val="004A687A"/>
    <w:rsid w:val="004B2F39"/>
    <w:rsid w:val="004B4FC9"/>
    <w:rsid w:val="004C0F1E"/>
    <w:rsid w:val="004C6C52"/>
    <w:rsid w:val="004D14DB"/>
    <w:rsid w:val="004D19AF"/>
    <w:rsid w:val="004E1FCA"/>
    <w:rsid w:val="004E30F5"/>
    <w:rsid w:val="004E7943"/>
    <w:rsid w:val="004F287D"/>
    <w:rsid w:val="004F4D8A"/>
    <w:rsid w:val="004F6D6F"/>
    <w:rsid w:val="00503379"/>
    <w:rsid w:val="005046CA"/>
    <w:rsid w:val="00521978"/>
    <w:rsid w:val="00521B1B"/>
    <w:rsid w:val="005241F3"/>
    <w:rsid w:val="00524374"/>
    <w:rsid w:val="00526650"/>
    <w:rsid w:val="00532CEA"/>
    <w:rsid w:val="00534CA5"/>
    <w:rsid w:val="00540814"/>
    <w:rsid w:val="005468E4"/>
    <w:rsid w:val="00554AC4"/>
    <w:rsid w:val="00557C4E"/>
    <w:rsid w:val="00557EA9"/>
    <w:rsid w:val="0056205D"/>
    <w:rsid w:val="0057698C"/>
    <w:rsid w:val="00581E90"/>
    <w:rsid w:val="0058361B"/>
    <w:rsid w:val="0059446C"/>
    <w:rsid w:val="00597C66"/>
    <w:rsid w:val="005A48A0"/>
    <w:rsid w:val="005A4D39"/>
    <w:rsid w:val="005B169B"/>
    <w:rsid w:val="005C5FB7"/>
    <w:rsid w:val="005D27A4"/>
    <w:rsid w:val="005E1120"/>
    <w:rsid w:val="005E35F3"/>
    <w:rsid w:val="005E779D"/>
    <w:rsid w:val="005F0F30"/>
    <w:rsid w:val="005F21EB"/>
    <w:rsid w:val="005F58EC"/>
    <w:rsid w:val="00604096"/>
    <w:rsid w:val="00604A2B"/>
    <w:rsid w:val="00613D7B"/>
    <w:rsid w:val="00615506"/>
    <w:rsid w:val="00615FFD"/>
    <w:rsid w:val="006175FC"/>
    <w:rsid w:val="00635F5E"/>
    <w:rsid w:val="00637A31"/>
    <w:rsid w:val="00645846"/>
    <w:rsid w:val="006511B1"/>
    <w:rsid w:val="0065293E"/>
    <w:rsid w:val="00652E56"/>
    <w:rsid w:val="006567D4"/>
    <w:rsid w:val="00670D94"/>
    <w:rsid w:val="00676F2B"/>
    <w:rsid w:val="006816EB"/>
    <w:rsid w:val="0068617B"/>
    <w:rsid w:val="00686CC1"/>
    <w:rsid w:val="006939B6"/>
    <w:rsid w:val="00695BC7"/>
    <w:rsid w:val="006A0821"/>
    <w:rsid w:val="006B1AAF"/>
    <w:rsid w:val="006B61E8"/>
    <w:rsid w:val="006C0E96"/>
    <w:rsid w:val="006C308B"/>
    <w:rsid w:val="006C3DC6"/>
    <w:rsid w:val="006C5497"/>
    <w:rsid w:val="006C6418"/>
    <w:rsid w:val="006E2296"/>
    <w:rsid w:val="006E4AC1"/>
    <w:rsid w:val="006E5591"/>
    <w:rsid w:val="006F551D"/>
    <w:rsid w:val="006F5F98"/>
    <w:rsid w:val="00703AB8"/>
    <w:rsid w:val="007118FA"/>
    <w:rsid w:val="00712A90"/>
    <w:rsid w:val="00715EE2"/>
    <w:rsid w:val="0071793E"/>
    <w:rsid w:val="00720FA4"/>
    <w:rsid w:val="00721931"/>
    <w:rsid w:val="007232B2"/>
    <w:rsid w:val="0072441E"/>
    <w:rsid w:val="00731514"/>
    <w:rsid w:val="00752862"/>
    <w:rsid w:val="007537AA"/>
    <w:rsid w:val="00755C5E"/>
    <w:rsid w:val="00756D4E"/>
    <w:rsid w:val="007609FA"/>
    <w:rsid w:val="0076511E"/>
    <w:rsid w:val="0076596B"/>
    <w:rsid w:val="007679F2"/>
    <w:rsid w:val="0077046F"/>
    <w:rsid w:val="0077236D"/>
    <w:rsid w:val="0077390D"/>
    <w:rsid w:val="0077400A"/>
    <w:rsid w:val="00775AEA"/>
    <w:rsid w:val="00777D75"/>
    <w:rsid w:val="0078110D"/>
    <w:rsid w:val="007812AD"/>
    <w:rsid w:val="00782591"/>
    <w:rsid w:val="007923FA"/>
    <w:rsid w:val="007A15F4"/>
    <w:rsid w:val="007A5D6E"/>
    <w:rsid w:val="007B020F"/>
    <w:rsid w:val="007B6F04"/>
    <w:rsid w:val="007B7F06"/>
    <w:rsid w:val="007D2F13"/>
    <w:rsid w:val="007D6BFB"/>
    <w:rsid w:val="007E0292"/>
    <w:rsid w:val="007E1C89"/>
    <w:rsid w:val="007E2647"/>
    <w:rsid w:val="007E35C5"/>
    <w:rsid w:val="007F75AF"/>
    <w:rsid w:val="007F78DB"/>
    <w:rsid w:val="00802792"/>
    <w:rsid w:val="00802E52"/>
    <w:rsid w:val="0081456A"/>
    <w:rsid w:val="00814D9A"/>
    <w:rsid w:val="00816137"/>
    <w:rsid w:val="00820A47"/>
    <w:rsid w:val="00824C1F"/>
    <w:rsid w:val="00832825"/>
    <w:rsid w:val="00834510"/>
    <w:rsid w:val="008433C8"/>
    <w:rsid w:val="00845763"/>
    <w:rsid w:val="008461A4"/>
    <w:rsid w:val="00855E4A"/>
    <w:rsid w:val="00864677"/>
    <w:rsid w:val="00866DB4"/>
    <w:rsid w:val="00870FD3"/>
    <w:rsid w:val="00873DF7"/>
    <w:rsid w:val="00873E10"/>
    <w:rsid w:val="00883CF3"/>
    <w:rsid w:val="008869BE"/>
    <w:rsid w:val="008902B9"/>
    <w:rsid w:val="00895CDC"/>
    <w:rsid w:val="008978BF"/>
    <w:rsid w:val="008A579D"/>
    <w:rsid w:val="008B44AB"/>
    <w:rsid w:val="008B4580"/>
    <w:rsid w:val="008B4F98"/>
    <w:rsid w:val="008B5D7A"/>
    <w:rsid w:val="008D3EFD"/>
    <w:rsid w:val="008D7D9C"/>
    <w:rsid w:val="009034FD"/>
    <w:rsid w:val="00910A87"/>
    <w:rsid w:val="009114C2"/>
    <w:rsid w:val="0091327D"/>
    <w:rsid w:val="009155A7"/>
    <w:rsid w:val="00922B34"/>
    <w:rsid w:val="00931303"/>
    <w:rsid w:val="00937DC8"/>
    <w:rsid w:val="00941B75"/>
    <w:rsid w:val="00942EB9"/>
    <w:rsid w:val="00943AA6"/>
    <w:rsid w:val="0095145C"/>
    <w:rsid w:val="00951837"/>
    <w:rsid w:val="00953098"/>
    <w:rsid w:val="00953724"/>
    <w:rsid w:val="00953C0A"/>
    <w:rsid w:val="00953F27"/>
    <w:rsid w:val="0095646D"/>
    <w:rsid w:val="00963E10"/>
    <w:rsid w:val="0097648E"/>
    <w:rsid w:val="00981B0D"/>
    <w:rsid w:val="00986536"/>
    <w:rsid w:val="00986931"/>
    <w:rsid w:val="00996E07"/>
    <w:rsid w:val="00997295"/>
    <w:rsid w:val="009A0C43"/>
    <w:rsid w:val="009A5BEF"/>
    <w:rsid w:val="009A5CE2"/>
    <w:rsid w:val="009B1F22"/>
    <w:rsid w:val="009B3A54"/>
    <w:rsid w:val="009B6146"/>
    <w:rsid w:val="009B77F1"/>
    <w:rsid w:val="009C0302"/>
    <w:rsid w:val="009C7DC6"/>
    <w:rsid w:val="009D0931"/>
    <w:rsid w:val="009D2856"/>
    <w:rsid w:val="009D7C48"/>
    <w:rsid w:val="009E0999"/>
    <w:rsid w:val="009E0B4B"/>
    <w:rsid w:val="009E1BD9"/>
    <w:rsid w:val="00A0129B"/>
    <w:rsid w:val="00A02615"/>
    <w:rsid w:val="00A04C89"/>
    <w:rsid w:val="00A0581B"/>
    <w:rsid w:val="00A165CE"/>
    <w:rsid w:val="00A21084"/>
    <w:rsid w:val="00A21146"/>
    <w:rsid w:val="00A240F2"/>
    <w:rsid w:val="00A407ED"/>
    <w:rsid w:val="00A41694"/>
    <w:rsid w:val="00A5111A"/>
    <w:rsid w:val="00A51355"/>
    <w:rsid w:val="00A718B9"/>
    <w:rsid w:val="00A71DA5"/>
    <w:rsid w:val="00A83D84"/>
    <w:rsid w:val="00A876E7"/>
    <w:rsid w:val="00A91A7E"/>
    <w:rsid w:val="00A9389A"/>
    <w:rsid w:val="00AA4CEF"/>
    <w:rsid w:val="00AA7DF0"/>
    <w:rsid w:val="00AB11EF"/>
    <w:rsid w:val="00AB22A3"/>
    <w:rsid w:val="00AC00BC"/>
    <w:rsid w:val="00AC39ED"/>
    <w:rsid w:val="00AC3EA6"/>
    <w:rsid w:val="00AD3DB4"/>
    <w:rsid w:val="00AD67FC"/>
    <w:rsid w:val="00AF17A4"/>
    <w:rsid w:val="00AF6175"/>
    <w:rsid w:val="00B06E98"/>
    <w:rsid w:val="00B103EB"/>
    <w:rsid w:val="00B15835"/>
    <w:rsid w:val="00B17269"/>
    <w:rsid w:val="00B223B7"/>
    <w:rsid w:val="00B25371"/>
    <w:rsid w:val="00B256CA"/>
    <w:rsid w:val="00B36DF7"/>
    <w:rsid w:val="00B37355"/>
    <w:rsid w:val="00B40886"/>
    <w:rsid w:val="00B523AB"/>
    <w:rsid w:val="00B54B0B"/>
    <w:rsid w:val="00B57A17"/>
    <w:rsid w:val="00B63C1E"/>
    <w:rsid w:val="00B64BA3"/>
    <w:rsid w:val="00B7583F"/>
    <w:rsid w:val="00B81DAC"/>
    <w:rsid w:val="00B90AF6"/>
    <w:rsid w:val="00B9461A"/>
    <w:rsid w:val="00BA030E"/>
    <w:rsid w:val="00BB1F97"/>
    <w:rsid w:val="00BB58DD"/>
    <w:rsid w:val="00BC3603"/>
    <w:rsid w:val="00BC7E67"/>
    <w:rsid w:val="00BD3B26"/>
    <w:rsid w:val="00BD658E"/>
    <w:rsid w:val="00BE1E44"/>
    <w:rsid w:val="00BE39CE"/>
    <w:rsid w:val="00BF6A96"/>
    <w:rsid w:val="00C05600"/>
    <w:rsid w:val="00C12E7D"/>
    <w:rsid w:val="00C13044"/>
    <w:rsid w:val="00C21FFA"/>
    <w:rsid w:val="00C221C8"/>
    <w:rsid w:val="00C23F7E"/>
    <w:rsid w:val="00C26E9F"/>
    <w:rsid w:val="00C3039C"/>
    <w:rsid w:val="00C323DE"/>
    <w:rsid w:val="00C34390"/>
    <w:rsid w:val="00C376C8"/>
    <w:rsid w:val="00C50418"/>
    <w:rsid w:val="00C545AD"/>
    <w:rsid w:val="00C56FE6"/>
    <w:rsid w:val="00C62CD5"/>
    <w:rsid w:val="00C6582C"/>
    <w:rsid w:val="00C66449"/>
    <w:rsid w:val="00C739BA"/>
    <w:rsid w:val="00C8008B"/>
    <w:rsid w:val="00C8384E"/>
    <w:rsid w:val="00C91854"/>
    <w:rsid w:val="00C91AF8"/>
    <w:rsid w:val="00C928B4"/>
    <w:rsid w:val="00C95CAE"/>
    <w:rsid w:val="00CB3612"/>
    <w:rsid w:val="00CB3905"/>
    <w:rsid w:val="00CB5A8B"/>
    <w:rsid w:val="00CB7C7B"/>
    <w:rsid w:val="00CC38F6"/>
    <w:rsid w:val="00CC54D3"/>
    <w:rsid w:val="00CC6D86"/>
    <w:rsid w:val="00CC7ACB"/>
    <w:rsid w:val="00CD42C3"/>
    <w:rsid w:val="00CD4BEB"/>
    <w:rsid w:val="00CF4BFC"/>
    <w:rsid w:val="00CF7BF1"/>
    <w:rsid w:val="00D00E12"/>
    <w:rsid w:val="00D04A97"/>
    <w:rsid w:val="00D11DDF"/>
    <w:rsid w:val="00D15E28"/>
    <w:rsid w:val="00D16D57"/>
    <w:rsid w:val="00D175A4"/>
    <w:rsid w:val="00D2072C"/>
    <w:rsid w:val="00D306D3"/>
    <w:rsid w:val="00D40617"/>
    <w:rsid w:val="00D44DF6"/>
    <w:rsid w:val="00D46049"/>
    <w:rsid w:val="00D4610B"/>
    <w:rsid w:val="00D478FD"/>
    <w:rsid w:val="00D50E40"/>
    <w:rsid w:val="00D51FAF"/>
    <w:rsid w:val="00D54665"/>
    <w:rsid w:val="00D55F50"/>
    <w:rsid w:val="00D5710A"/>
    <w:rsid w:val="00D60CB1"/>
    <w:rsid w:val="00D6308C"/>
    <w:rsid w:val="00D65295"/>
    <w:rsid w:val="00D66C31"/>
    <w:rsid w:val="00D70071"/>
    <w:rsid w:val="00D74812"/>
    <w:rsid w:val="00D811CF"/>
    <w:rsid w:val="00D8153D"/>
    <w:rsid w:val="00D85745"/>
    <w:rsid w:val="00D86503"/>
    <w:rsid w:val="00D96202"/>
    <w:rsid w:val="00DA73A2"/>
    <w:rsid w:val="00DB1AC0"/>
    <w:rsid w:val="00DB1F71"/>
    <w:rsid w:val="00DB716B"/>
    <w:rsid w:val="00DC1EDA"/>
    <w:rsid w:val="00DD1A1C"/>
    <w:rsid w:val="00DD2FB0"/>
    <w:rsid w:val="00DD628A"/>
    <w:rsid w:val="00DE2D05"/>
    <w:rsid w:val="00E06AF7"/>
    <w:rsid w:val="00E10EAF"/>
    <w:rsid w:val="00E1546D"/>
    <w:rsid w:val="00E23314"/>
    <w:rsid w:val="00E338B7"/>
    <w:rsid w:val="00E40801"/>
    <w:rsid w:val="00E53E7F"/>
    <w:rsid w:val="00E62A4B"/>
    <w:rsid w:val="00E65F0F"/>
    <w:rsid w:val="00E67700"/>
    <w:rsid w:val="00E70819"/>
    <w:rsid w:val="00E70E7F"/>
    <w:rsid w:val="00E72FBE"/>
    <w:rsid w:val="00E73AF9"/>
    <w:rsid w:val="00E815B8"/>
    <w:rsid w:val="00E82A4D"/>
    <w:rsid w:val="00EA4682"/>
    <w:rsid w:val="00EA488B"/>
    <w:rsid w:val="00EB18FC"/>
    <w:rsid w:val="00EB68FB"/>
    <w:rsid w:val="00EC2234"/>
    <w:rsid w:val="00ED07CA"/>
    <w:rsid w:val="00ED5A4B"/>
    <w:rsid w:val="00ED785A"/>
    <w:rsid w:val="00EE0917"/>
    <w:rsid w:val="00EE1185"/>
    <w:rsid w:val="00EE1C51"/>
    <w:rsid w:val="00EE4423"/>
    <w:rsid w:val="00EF62A5"/>
    <w:rsid w:val="00EF799D"/>
    <w:rsid w:val="00F004DF"/>
    <w:rsid w:val="00F0078F"/>
    <w:rsid w:val="00F00B03"/>
    <w:rsid w:val="00F0560B"/>
    <w:rsid w:val="00F11A61"/>
    <w:rsid w:val="00F11E9C"/>
    <w:rsid w:val="00F14B3C"/>
    <w:rsid w:val="00F15082"/>
    <w:rsid w:val="00F20D95"/>
    <w:rsid w:val="00F21736"/>
    <w:rsid w:val="00F3410D"/>
    <w:rsid w:val="00F45CD7"/>
    <w:rsid w:val="00F45E2F"/>
    <w:rsid w:val="00F475E9"/>
    <w:rsid w:val="00F5233B"/>
    <w:rsid w:val="00F5451D"/>
    <w:rsid w:val="00F545B6"/>
    <w:rsid w:val="00F6046E"/>
    <w:rsid w:val="00F6140B"/>
    <w:rsid w:val="00F617D7"/>
    <w:rsid w:val="00F6342A"/>
    <w:rsid w:val="00F679AF"/>
    <w:rsid w:val="00F76A58"/>
    <w:rsid w:val="00F777D8"/>
    <w:rsid w:val="00F874A7"/>
    <w:rsid w:val="00F94DD8"/>
    <w:rsid w:val="00F9598A"/>
    <w:rsid w:val="00F970A3"/>
    <w:rsid w:val="00FA0711"/>
    <w:rsid w:val="00FA25E0"/>
    <w:rsid w:val="00FB50D3"/>
    <w:rsid w:val="00FB591B"/>
    <w:rsid w:val="00FB5CCC"/>
    <w:rsid w:val="00FC22B2"/>
    <w:rsid w:val="00FD0F4F"/>
    <w:rsid w:val="00FD2E57"/>
    <w:rsid w:val="00FE203E"/>
    <w:rsid w:val="00FE3201"/>
    <w:rsid w:val="00FE5678"/>
    <w:rsid w:val="00FE6584"/>
    <w:rsid w:val="00FF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003A7"/>
  <w15:chartTrackingRefBased/>
  <w15:docId w15:val="{F38E5FC9-0900-46A2-99DA-E3A9BF9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14"/>
    <w:pPr>
      <w:ind w:left="720"/>
      <w:contextualSpacing/>
    </w:pPr>
  </w:style>
  <w:style w:type="character" w:styleId="Hyperlink">
    <w:name w:val="Hyperlink"/>
    <w:basedOn w:val="DefaultParagraphFont"/>
    <w:uiPriority w:val="99"/>
    <w:unhideWhenUsed/>
    <w:rsid w:val="007232B2"/>
    <w:rPr>
      <w:color w:val="0563C1" w:themeColor="hyperlink"/>
      <w:u w:val="single"/>
    </w:rPr>
  </w:style>
  <w:style w:type="paragraph" w:styleId="Header">
    <w:name w:val="header"/>
    <w:basedOn w:val="Normal"/>
    <w:link w:val="HeaderChar"/>
    <w:uiPriority w:val="99"/>
    <w:unhideWhenUsed/>
    <w:rsid w:val="00F6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0B"/>
  </w:style>
  <w:style w:type="paragraph" w:styleId="Footer">
    <w:name w:val="footer"/>
    <w:basedOn w:val="Normal"/>
    <w:link w:val="FooterChar"/>
    <w:uiPriority w:val="99"/>
    <w:unhideWhenUsed/>
    <w:rsid w:val="00F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0B"/>
  </w:style>
  <w:style w:type="paragraph" w:styleId="NormalWeb">
    <w:name w:val="Normal (Web)"/>
    <w:basedOn w:val="Normal"/>
    <w:uiPriority w:val="99"/>
    <w:unhideWhenUsed/>
    <w:rsid w:val="0007469A"/>
    <w:rPr>
      <w:rFonts w:ascii="Times New Roman" w:hAnsi="Times New Roman" w:cs="Times New Roman"/>
      <w:sz w:val="24"/>
      <w:szCs w:val="24"/>
    </w:rPr>
  </w:style>
  <w:style w:type="character" w:styleId="Emphasis">
    <w:name w:val="Emphasis"/>
    <w:basedOn w:val="DefaultParagraphFont"/>
    <w:uiPriority w:val="20"/>
    <w:qFormat/>
    <w:rsid w:val="008A579D"/>
    <w:rPr>
      <w:i/>
      <w:iCs/>
    </w:rPr>
  </w:style>
  <w:style w:type="character" w:styleId="UnresolvedMention">
    <w:name w:val="Unresolved Mention"/>
    <w:basedOn w:val="DefaultParagraphFont"/>
    <w:uiPriority w:val="99"/>
    <w:semiHidden/>
    <w:unhideWhenUsed/>
    <w:rsid w:val="00DD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2533">
      <w:bodyDiv w:val="1"/>
      <w:marLeft w:val="0"/>
      <w:marRight w:val="0"/>
      <w:marTop w:val="0"/>
      <w:marBottom w:val="0"/>
      <w:divBdr>
        <w:top w:val="none" w:sz="0" w:space="0" w:color="auto"/>
        <w:left w:val="none" w:sz="0" w:space="0" w:color="auto"/>
        <w:bottom w:val="none" w:sz="0" w:space="0" w:color="auto"/>
        <w:right w:val="none" w:sz="0" w:space="0" w:color="auto"/>
      </w:divBdr>
    </w:div>
    <w:div w:id="210466173">
      <w:bodyDiv w:val="1"/>
      <w:marLeft w:val="0"/>
      <w:marRight w:val="0"/>
      <w:marTop w:val="0"/>
      <w:marBottom w:val="0"/>
      <w:divBdr>
        <w:top w:val="none" w:sz="0" w:space="0" w:color="auto"/>
        <w:left w:val="none" w:sz="0" w:space="0" w:color="auto"/>
        <w:bottom w:val="none" w:sz="0" w:space="0" w:color="auto"/>
        <w:right w:val="none" w:sz="0" w:space="0" w:color="auto"/>
      </w:divBdr>
    </w:div>
    <w:div w:id="223418618">
      <w:bodyDiv w:val="1"/>
      <w:marLeft w:val="0"/>
      <w:marRight w:val="0"/>
      <w:marTop w:val="0"/>
      <w:marBottom w:val="0"/>
      <w:divBdr>
        <w:top w:val="none" w:sz="0" w:space="0" w:color="auto"/>
        <w:left w:val="none" w:sz="0" w:space="0" w:color="auto"/>
        <w:bottom w:val="none" w:sz="0" w:space="0" w:color="auto"/>
        <w:right w:val="none" w:sz="0" w:space="0" w:color="auto"/>
      </w:divBdr>
    </w:div>
    <w:div w:id="332806268">
      <w:bodyDiv w:val="1"/>
      <w:marLeft w:val="0"/>
      <w:marRight w:val="0"/>
      <w:marTop w:val="0"/>
      <w:marBottom w:val="0"/>
      <w:divBdr>
        <w:top w:val="none" w:sz="0" w:space="0" w:color="auto"/>
        <w:left w:val="none" w:sz="0" w:space="0" w:color="auto"/>
        <w:bottom w:val="none" w:sz="0" w:space="0" w:color="auto"/>
        <w:right w:val="none" w:sz="0" w:space="0" w:color="auto"/>
      </w:divBdr>
      <w:divsChild>
        <w:div w:id="895239971">
          <w:marLeft w:val="288"/>
          <w:marRight w:val="0"/>
          <w:marTop w:val="240"/>
          <w:marBottom w:val="0"/>
          <w:divBdr>
            <w:top w:val="none" w:sz="0" w:space="0" w:color="auto"/>
            <w:left w:val="none" w:sz="0" w:space="0" w:color="auto"/>
            <w:bottom w:val="none" w:sz="0" w:space="0" w:color="auto"/>
            <w:right w:val="none" w:sz="0" w:space="0" w:color="auto"/>
          </w:divBdr>
        </w:div>
        <w:div w:id="1682586075">
          <w:marLeft w:val="720"/>
          <w:marRight w:val="0"/>
          <w:marTop w:val="80"/>
          <w:marBottom w:val="40"/>
          <w:divBdr>
            <w:top w:val="none" w:sz="0" w:space="0" w:color="auto"/>
            <w:left w:val="none" w:sz="0" w:space="0" w:color="auto"/>
            <w:bottom w:val="none" w:sz="0" w:space="0" w:color="auto"/>
            <w:right w:val="none" w:sz="0" w:space="0" w:color="auto"/>
          </w:divBdr>
        </w:div>
        <w:div w:id="718556369">
          <w:marLeft w:val="720"/>
          <w:marRight w:val="0"/>
          <w:marTop w:val="80"/>
          <w:marBottom w:val="40"/>
          <w:divBdr>
            <w:top w:val="none" w:sz="0" w:space="0" w:color="auto"/>
            <w:left w:val="none" w:sz="0" w:space="0" w:color="auto"/>
            <w:bottom w:val="none" w:sz="0" w:space="0" w:color="auto"/>
            <w:right w:val="none" w:sz="0" w:space="0" w:color="auto"/>
          </w:divBdr>
        </w:div>
      </w:divsChild>
    </w:div>
    <w:div w:id="441875108">
      <w:bodyDiv w:val="1"/>
      <w:marLeft w:val="0"/>
      <w:marRight w:val="0"/>
      <w:marTop w:val="0"/>
      <w:marBottom w:val="0"/>
      <w:divBdr>
        <w:top w:val="none" w:sz="0" w:space="0" w:color="auto"/>
        <w:left w:val="none" w:sz="0" w:space="0" w:color="auto"/>
        <w:bottom w:val="none" w:sz="0" w:space="0" w:color="auto"/>
        <w:right w:val="none" w:sz="0" w:space="0" w:color="auto"/>
      </w:divBdr>
    </w:div>
    <w:div w:id="862131126">
      <w:bodyDiv w:val="1"/>
      <w:marLeft w:val="0"/>
      <w:marRight w:val="0"/>
      <w:marTop w:val="0"/>
      <w:marBottom w:val="0"/>
      <w:divBdr>
        <w:top w:val="none" w:sz="0" w:space="0" w:color="auto"/>
        <w:left w:val="none" w:sz="0" w:space="0" w:color="auto"/>
        <w:bottom w:val="none" w:sz="0" w:space="0" w:color="auto"/>
        <w:right w:val="none" w:sz="0" w:space="0" w:color="auto"/>
      </w:divBdr>
      <w:divsChild>
        <w:div w:id="2017875676">
          <w:marLeft w:val="720"/>
          <w:marRight w:val="0"/>
          <w:marTop w:val="80"/>
          <w:marBottom w:val="40"/>
          <w:divBdr>
            <w:top w:val="none" w:sz="0" w:space="0" w:color="auto"/>
            <w:left w:val="none" w:sz="0" w:space="0" w:color="auto"/>
            <w:bottom w:val="none" w:sz="0" w:space="0" w:color="auto"/>
            <w:right w:val="none" w:sz="0" w:space="0" w:color="auto"/>
          </w:divBdr>
        </w:div>
        <w:div w:id="603802240">
          <w:marLeft w:val="720"/>
          <w:marRight w:val="0"/>
          <w:marTop w:val="80"/>
          <w:marBottom w:val="40"/>
          <w:divBdr>
            <w:top w:val="none" w:sz="0" w:space="0" w:color="auto"/>
            <w:left w:val="none" w:sz="0" w:space="0" w:color="auto"/>
            <w:bottom w:val="none" w:sz="0" w:space="0" w:color="auto"/>
            <w:right w:val="none" w:sz="0" w:space="0" w:color="auto"/>
          </w:divBdr>
        </w:div>
        <w:div w:id="796408718">
          <w:marLeft w:val="720"/>
          <w:marRight w:val="0"/>
          <w:marTop w:val="80"/>
          <w:marBottom w:val="40"/>
          <w:divBdr>
            <w:top w:val="none" w:sz="0" w:space="0" w:color="auto"/>
            <w:left w:val="none" w:sz="0" w:space="0" w:color="auto"/>
            <w:bottom w:val="none" w:sz="0" w:space="0" w:color="auto"/>
            <w:right w:val="none" w:sz="0" w:space="0" w:color="auto"/>
          </w:divBdr>
        </w:div>
        <w:div w:id="691491439">
          <w:marLeft w:val="1152"/>
          <w:marRight w:val="0"/>
          <w:marTop w:val="80"/>
          <w:marBottom w:val="40"/>
          <w:divBdr>
            <w:top w:val="none" w:sz="0" w:space="0" w:color="auto"/>
            <w:left w:val="none" w:sz="0" w:space="0" w:color="auto"/>
            <w:bottom w:val="none" w:sz="0" w:space="0" w:color="auto"/>
            <w:right w:val="none" w:sz="0" w:space="0" w:color="auto"/>
          </w:divBdr>
        </w:div>
        <w:div w:id="497962999">
          <w:marLeft w:val="1152"/>
          <w:marRight w:val="0"/>
          <w:marTop w:val="80"/>
          <w:marBottom w:val="40"/>
          <w:divBdr>
            <w:top w:val="none" w:sz="0" w:space="0" w:color="auto"/>
            <w:left w:val="none" w:sz="0" w:space="0" w:color="auto"/>
            <w:bottom w:val="none" w:sz="0" w:space="0" w:color="auto"/>
            <w:right w:val="none" w:sz="0" w:space="0" w:color="auto"/>
          </w:divBdr>
        </w:div>
        <w:div w:id="1605839509">
          <w:marLeft w:val="1152"/>
          <w:marRight w:val="0"/>
          <w:marTop w:val="80"/>
          <w:marBottom w:val="40"/>
          <w:divBdr>
            <w:top w:val="none" w:sz="0" w:space="0" w:color="auto"/>
            <w:left w:val="none" w:sz="0" w:space="0" w:color="auto"/>
            <w:bottom w:val="none" w:sz="0" w:space="0" w:color="auto"/>
            <w:right w:val="none" w:sz="0" w:space="0" w:color="auto"/>
          </w:divBdr>
        </w:div>
      </w:divsChild>
    </w:div>
    <w:div w:id="958491302">
      <w:bodyDiv w:val="1"/>
      <w:marLeft w:val="0"/>
      <w:marRight w:val="0"/>
      <w:marTop w:val="0"/>
      <w:marBottom w:val="0"/>
      <w:divBdr>
        <w:top w:val="none" w:sz="0" w:space="0" w:color="auto"/>
        <w:left w:val="none" w:sz="0" w:space="0" w:color="auto"/>
        <w:bottom w:val="none" w:sz="0" w:space="0" w:color="auto"/>
        <w:right w:val="none" w:sz="0" w:space="0" w:color="auto"/>
      </w:divBdr>
    </w:div>
    <w:div w:id="1462307684">
      <w:bodyDiv w:val="1"/>
      <w:marLeft w:val="0"/>
      <w:marRight w:val="0"/>
      <w:marTop w:val="0"/>
      <w:marBottom w:val="0"/>
      <w:divBdr>
        <w:top w:val="none" w:sz="0" w:space="0" w:color="auto"/>
        <w:left w:val="none" w:sz="0" w:space="0" w:color="auto"/>
        <w:bottom w:val="none" w:sz="0" w:space="0" w:color="auto"/>
        <w:right w:val="none" w:sz="0" w:space="0" w:color="auto"/>
      </w:divBdr>
    </w:div>
    <w:div w:id="1677616361">
      <w:bodyDiv w:val="1"/>
      <w:marLeft w:val="0"/>
      <w:marRight w:val="0"/>
      <w:marTop w:val="0"/>
      <w:marBottom w:val="0"/>
      <w:divBdr>
        <w:top w:val="none" w:sz="0" w:space="0" w:color="auto"/>
        <w:left w:val="none" w:sz="0" w:space="0" w:color="auto"/>
        <w:bottom w:val="none" w:sz="0" w:space="0" w:color="auto"/>
        <w:right w:val="none" w:sz="0" w:space="0" w:color="auto"/>
      </w:divBdr>
    </w:div>
    <w:div w:id="1782644738">
      <w:bodyDiv w:val="1"/>
      <w:marLeft w:val="0"/>
      <w:marRight w:val="0"/>
      <w:marTop w:val="0"/>
      <w:marBottom w:val="0"/>
      <w:divBdr>
        <w:top w:val="none" w:sz="0" w:space="0" w:color="auto"/>
        <w:left w:val="none" w:sz="0" w:space="0" w:color="auto"/>
        <w:bottom w:val="none" w:sz="0" w:space="0" w:color="auto"/>
        <w:right w:val="none" w:sz="0" w:space="0" w:color="auto"/>
      </w:divBdr>
    </w:div>
    <w:div w:id="1980726491">
      <w:bodyDiv w:val="1"/>
      <w:marLeft w:val="0"/>
      <w:marRight w:val="0"/>
      <w:marTop w:val="0"/>
      <w:marBottom w:val="0"/>
      <w:divBdr>
        <w:top w:val="none" w:sz="0" w:space="0" w:color="auto"/>
        <w:left w:val="none" w:sz="0" w:space="0" w:color="auto"/>
        <w:bottom w:val="none" w:sz="0" w:space="0" w:color="auto"/>
        <w:right w:val="none" w:sz="0" w:space="0" w:color="auto"/>
      </w:divBdr>
      <w:divsChild>
        <w:div w:id="285623772">
          <w:marLeft w:val="720"/>
          <w:marRight w:val="0"/>
          <w:marTop w:val="80"/>
          <w:marBottom w:val="40"/>
          <w:divBdr>
            <w:top w:val="none" w:sz="0" w:space="0" w:color="auto"/>
            <w:left w:val="none" w:sz="0" w:space="0" w:color="auto"/>
            <w:bottom w:val="none" w:sz="0" w:space="0" w:color="auto"/>
            <w:right w:val="none" w:sz="0" w:space="0" w:color="auto"/>
          </w:divBdr>
        </w:div>
        <w:div w:id="777334635">
          <w:marLeft w:val="720"/>
          <w:marRight w:val="0"/>
          <w:marTop w:val="80"/>
          <w:marBottom w:val="40"/>
          <w:divBdr>
            <w:top w:val="none" w:sz="0" w:space="0" w:color="auto"/>
            <w:left w:val="none" w:sz="0" w:space="0" w:color="auto"/>
            <w:bottom w:val="none" w:sz="0" w:space="0" w:color="auto"/>
            <w:right w:val="none" w:sz="0" w:space="0" w:color="auto"/>
          </w:divBdr>
        </w:div>
        <w:div w:id="711078767">
          <w:marLeft w:val="720"/>
          <w:marRight w:val="0"/>
          <w:marTop w:val="80"/>
          <w:marBottom w:val="40"/>
          <w:divBdr>
            <w:top w:val="none" w:sz="0" w:space="0" w:color="auto"/>
            <w:left w:val="none" w:sz="0" w:space="0" w:color="auto"/>
            <w:bottom w:val="none" w:sz="0" w:space="0" w:color="auto"/>
            <w:right w:val="none" w:sz="0" w:space="0" w:color="auto"/>
          </w:divBdr>
        </w:div>
        <w:div w:id="1677150175">
          <w:marLeft w:val="720"/>
          <w:marRight w:val="0"/>
          <w:marTop w:val="80"/>
          <w:marBottom w:val="40"/>
          <w:divBdr>
            <w:top w:val="none" w:sz="0" w:space="0" w:color="auto"/>
            <w:left w:val="none" w:sz="0" w:space="0" w:color="auto"/>
            <w:bottom w:val="none" w:sz="0" w:space="0" w:color="auto"/>
            <w:right w:val="none" w:sz="0" w:space="0" w:color="auto"/>
          </w:divBdr>
        </w:div>
        <w:div w:id="1930458423">
          <w:marLeft w:val="720"/>
          <w:marRight w:val="0"/>
          <w:marTop w:val="80"/>
          <w:marBottom w:val="40"/>
          <w:divBdr>
            <w:top w:val="none" w:sz="0" w:space="0" w:color="auto"/>
            <w:left w:val="none" w:sz="0" w:space="0" w:color="auto"/>
            <w:bottom w:val="none" w:sz="0" w:space="0" w:color="auto"/>
            <w:right w:val="none" w:sz="0" w:space="0" w:color="auto"/>
          </w:divBdr>
        </w:div>
        <w:div w:id="254091304">
          <w:marLeft w:val="720"/>
          <w:marRight w:val="0"/>
          <w:marTop w:val="80"/>
          <w:marBottom w:val="40"/>
          <w:divBdr>
            <w:top w:val="none" w:sz="0" w:space="0" w:color="auto"/>
            <w:left w:val="none" w:sz="0" w:space="0" w:color="auto"/>
            <w:bottom w:val="none" w:sz="0" w:space="0" w:color="auto"/>
            <w:right w:val="none" w:sz="0" w:space="0" w:color="auto"/>
          </w:divBdr>
        </w:div>
        <w:div w:id="1746491206">
          <w:marLeft w:val="720"/>
          <w:marRight w:val="0"/>
          <w:marTop w:val="80"/>
          <w:marBottom w:val="40"/>
          <w:divBdr>
            <w:top w:val="none" w:sz="0" w:space="0" w:color="auto"/>
            <w:left w:val="none" w:sz="0" w:space="0" w:color="auto"/>
            <w:bottom w:val="none" w:sz="0" w:space="0" w:color="auto"/>
            <w:right w:val="none" w:sz="0" w:space="0" w:color="auto"/>
          </w:divBdr>
        </w:div>
        <w:div w:id="1262445768">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erosier@hennepin.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MDUyOTI2YzAtMDgzZi00NDVjLWJmMTAtNDdlYTc4ZDYwOWU5%40thread.v2/0?context=%7b%22Tid%22%3a%228aefdf9f-8780-46bf-8fb7-4c924653a8be%22%2c%22Oid%22%3a%22e9768c89-86ff-4c2a-beb0-cc19f7d8b3cc%22%7d" TargetMode="External"/><Relationship Id="rId12" Type="http://schemas.openxmlformats.org/officeDocument/2006/relationships/hyperlink" Target="https://www.hennepin.us/headinghomehennep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CNOFO@hu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ants.gov/web/grants/view-opportunity.html?oppId=3428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derosier@hennepi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DeRosier</dc:creator>
  <cp:keywords/>
  <dc:description/>
  <cp:lastModifiedBy>Laura A DeRosier</cp:lastModifiedBy>
  <cp:revision>130</cp:revision>
  <dcterms:created xsi:type="dcterms:W3CDTF">2022-06-29T14:48:00Z</dcterms:created>
  <dcterms:modified xsi:type="dcterms:W3CDTF">2022-08-09T16:35:00Z</dcterms:modified>
</cp:coreProperties>
</file>