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68D4" w14:textId="3D0993BD" w:rsidR="00FE0207" w:rsidRDefault="006A0B94" w:rsidP="006A0B94">
      <w:pPr>
        <w:pStyle w:val="Heading1"/>
        <w:spacing w:before="0" w:after="0"/>
        <w:contextualSpacing/>
        <w:jc w:val="center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 xml:space="preserve">Community-Based </w:t>
      </w:r>
      <w:r w:rsidR="009C4788">
        <w:rPr>
          <w:color w:val="FFFFFF" w:themeColor="background1"/>
          <w:sz w:val="60"/>
          <w:szCs w:val="60"/>
        </w:rPr>
        <w:t>Housing Support</w:t>
      </w:r>
      <w:r w:rsidR="00222AF6">
        <w:rPr>
          <w:color w:val="FFFFFF" w:themeColor="background1"/>
          <w:sz w:val="60"/>
          <w:szCs w:val="60"/>
        </w:rPr>
        <w:t xml:space="preserve"> </w:t>
      </w:r>
      <w:r w:rsidR="0048381F">
        <w:rPr>
          <w:color w:val="FFFFFF" w:themeColor="background1"/>
          <w:sz w:val="60"/>
          <w:szCs w:val="60"/>
        </w:rPr>
        <w:t>Transfers and Discharges</w:t>
      </w:r>
    </w:p>
    <w:p w14:paraId="42230503" w14:textId="77777777" w:rsidR="006A0B94" w:rsidRPr="006A0B94" w:rsidRDefault="006A0B94" w:rsidP="006A0B94">
      <w:pPr>
        <w:spacing w:line="360" w:lineRule="auto"/>
      </w:pPr>
    </w:p>
    <w:p w14:paraId="584582C5" w14:textId="06EB2657" w:rsidR="006A0B94" w:rsidRPr="00507AF4" w:rsidRDefault="006A0B94" w:rsidP="0038150B">
      <w:pPr>
        <w:spacing w:before="240" w:after="0" w:line="240" w:lineRule="auto"/>
        <w:rPr>
          <w:rFonts w:ascii="Segoe UI" w:eastAsiaTheme="majorEastAsia" w:hAnsi="Segoe UI" w:cs="Segoe UI"/>
          <w:color w:val="0058A4"/>
          <w:sz w:val="28"/>
          <w:szCs w:val="28"/>
        </w:rPr>
      </w:pPr>
      <w:r w:rsidRPr="00507AF4">
        <w:rPr>
          <w:rFonts w:ascii="Segoe UI" w:eastAsiaTheme="majorEastAsia" w:hAnsi="Segoe UI" w:cs="Segoe UI"/>
          <w:color w:val="0058A4"/>
          <w:sz w:val="28"/>
          <w:szCs w:val="28"/>
        </w:rPr>
        <w:t xml:space="preserve">To prevent exits to homelessness, </w:t>
      </w:r>
      <w:r w:rsidRPr="00507AF4">
        <w:rPr>
          <w:rFonts w:ascii="Segoe UI" w:eastAsiaTheme="majorEastAsia" w:hAnsi="Segoe UI" w:cs="Segoe UI"/>
          <w:b/>
          <w:bCs/>
          <w:color w:val="0058A4"/>
          <w:sz w:val="28"/>
          <w:szCs w:val="28"/>
        </w:rPr>
        <w:t>the goal is to ensure clients have stable, sustainable housing plans in place, and before discharging</w:t>
      </w:r>
      <w:r w:rsidRPr="00507AF4">
        <w:rPr>
          <w:rFonts w:ascii="Segoe UI" w:eastAsiaTheme="majorEastAsia" w:hAnsi="Segoe UI" w:cs="Segoe UI"/>
          <w:color w:val="0058A4"/>
          <w:sz w:val="28"/>
          <w:szCs w:val="28"/>
        </w:rPr>
        <w:t xml:space="preserve"> a CBHS client, it's best practice to attempt a transfer to another provider.</w:t>
      </w:r>
    </w:p>
    <w:p w14:paraId="3576A512" w14:textId="1481F29F" w:rsidR="001B763D" w:rsidRPr="00507AF4" w:rsidRDefault="001B763D" w:rsidP="0038150B">
      <w:pPr>
        <w:spacing w:before="240" w:after="0" w:line="240" w:lineRule="auto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>Key Points:</w:t>
      </w:r>
    </w:p>
    <w:p w14:paraId="23A76F4B" w14:textId="77777777" w:rsidR="001B763D" w:rsidRPr="00507AF4" w:rsidRDefault="001B763D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Only providers can start a transfer request.</w:t>
      </w:r>
    </w:p>
    <w:p w14:paraId="696567AF" w14:textId="77777777" w:rsidR="001B763D" w:rsidRPr="00507AF4" w:rsidRDefault="001B763D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The current provider, the client, and the new provider should work together during the transfer.</w:t>
      </w:r>
    </w:p>
    <w:p w14:paraId="7247A3CD" w14:textId="56CE7DD3" w:rsidR="001B763D" w:rsidRPr="00507AF4" w:rsidRDefault="001B763D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The current provider is responsible for contacting other providers to find out if they have space.</w:t>
      </w:r>
    </w:p>
    <w:p w14:paraId="0424A699" w14:textId="37C8D709" w:rsidR="005549DE" w:rsidRPr="00507AF4" w:rsidRDefault="0063360F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Providers are expected to partner with clients to create an exit plan.</w:t>
      </w:r>
    </w:p>
    <w:p w14:paraId="7571D2F9" w14:textId="7E85BEBD" w:rsidR="000F1D1A" w:rsidRPr="00507AF4" w:rsidRDefault="0045149C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LTH c</w:t>
      </w:r>
      <w:r w:rsidR="00882337" w:rsidRPr="00507AF4">
        <w:rPr>
          <w:rFonts w:ascii="Segoe UI" w:hAnsi="Segoe UI" w:cs="Segoe UI"/>
          <w:sz w:val="21"/>
          <w:szCs w:val="21"/>
        </w:rPr>
        <w:t xml:space="preserve">lients must transfer to a new </w:t>
      </w:r>
      <w:r w:rsidRPr="00507AF4">
        <w:rPr>
          <w:rFonts w:ascii="Segoe UI" w:hAnsi="Segoe UI" w:cs="Segoe UI"/>
          <w:sz w:val="21"/>
          <w:szCs w:val="21"/>
        </w:rPr>
        <w:t xml:space="preserve">LTH </w:t>
      </w:r>
      <w:r w:rsidR="00882337" w:rsidRPr="00507AF4">
        <w:rPr>
          <w:rFonts w:ascii="Segoe UI" w:hAnsi="Segoe UI" w:cs="Segoe UI"/>
          <w:sz w:val="21"/>
          <w:szCs w:val="21"/>
        </w:rPr>
        <w:t xml:space="preserve">provider or risk losing LTH and Rate 2 eligibility in the future. </w:t>
      </w:r>
    </w:p>
    <w:p w14:paraId="547FAC22" w14:textId="6896958D" w:rsidR="00032531" w:rsidRPr="00507AF4" w:rsidRDefault="00525200" w:rsidP="0038150B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If rehousing is needed along with a transfer, providers should coordinate to ensure the best outcome for the client.</w:t>
      </w:r>
    </w:p>
    <w:p w14:paraId="7F05ACFF" w14:textId="5F87F341" w:rsidR="00CC17D7" w:rsidRPr="00507AF4" w:rsidRDefault="00753ABE" w:rsidP="0038150B">
      <w:pPr>
        <w:spacing w:before="240" w:line="240" w:lineRule="auto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>Transfer process – all clients:</w:t>
      </w:r>
    </w:p>
    <w:p w14:paraId="45FB32EC" w14:textId="64CDE82B" w:rsidR="002D010C" w:rsidRPr="00507AF4" w:rsidRDefault="00F43BCD" w:rsidP="0038150B">
      <w:pPr>
        <w:numPr>
          <w:ilvl w:val="0"/>
          <w:numId w:val="34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Reach out directly to the</w:t>
      </w:r>
      <w:r w:rsidR="002D010C" w:rsidRPr="00507AF4">
        <w:rPr>
          <w:rFonts w:ascii="Segoe UI" w:hAnsi="Segoe UI" w:cs="Segoe UI"/>
          <w:sz w:val="21"/>
          <w:szCs w:val="21"/>
        </w:rPr>
        <w:t xml:space="preserve"> providers on the </w:t>
      </w:r>
      <w:hyperlink r:id="rId11" w:history="1">
        <w:r w:rsidR="002D010C" w:rsidRPr="00507AF4">
          <w:rPr>
            <w:rStyle w:val="Hyperlink"/>
            <w:rFonts w:ascii="Segoe UI" w:hAnsi="Segoe UI" w:cs="Segoe UI"/>
            <w:sz w:val="21"/>
            <w:szCs w:val="21"/>
          </w:rPr>
          <w:t>Hennepin County Community-Based Provider list</w:t>
        </w:r>
      </w:hyperlink>
      <w:r w:rsidR="002D010C" w:rsidRPr="00507AF4">
        <w:rPr>
          <w:rFonts w:ascii="Segoe UI" w:hAnsi="Segoe UI" w:cs="Segoe UI"/>
          <w:sz w:val="21"/>
          <w:szCs w:val="21"/>
        </w:rPr>
        <w:t xml:space="preserve"> on our website </w:t>
      </w:r>
      <w:r w:rsidR="00E51D60" w:rsidRPr="00507AF4">
        <w:rPr>
          <w:rFonts w:ascii="Segoe UI" w:hAnsi="Segoe UI" w:cs="Segoe UI"/>
          <w:sz w:val="21"/>
          <w:szCs w:val="21"/>
        </w:rPr>
        <w:t>to see if they have an opening.</w:t>
      </w:r>
    </w:p>
    <w:p w14:paraId="68A0993A" w14:textId="345BDBD9" w:rsidR="00D86459" w:rsidRPr="00507AF4" w:rsidRDefault="002D010C" w:rsidP="0038150B">
      <w:pPr>
        <w:numPr>
          <w:ilvl w:val="0"/>
          <w:numId w:val="34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Notify Hennepin County Economic Supports of the transfer/discharge. This will stop the Housing Support payments for the current provider and begin the payments for the new provider.</w:t>
      </w:r>
      <w:r w:rsidR="00817F98" w:rsidRPr="00507AF4">
        <w:rPr>
          <w:rFonts w:ascii="Segoe UI" w:hAnsi="Segoe UI" w:cs="Segoe UI"/>
          <w:sz w:val="21"/>
          <w:szCs w:val="21"/>
        </w:rPr>
        <w:t xml:space="preserve"> You can use the </w:t>
      </w:r>
      <w:r w:rsidR="0014794A" w:rsidRPr="00507AF4">
        <w:rPr>
          <w:rFonts w:ascii="Segoe UI" w:hAnsi="Segoe UI" w:cs="Segoe UI"/>
          <w:sz w:val="21"/>
          <w:szCs w:val="21"/>
        </w:rPr>
        <w:t xml:space="preserve">Change Report Form (DHS-2402). </w:t>
      </w:r>
    </w:p>
    <w:p w14:paraId="7CF597B8" w14:textId="068FCAEB" w:rsidR="00A24944" w:rsidRPr="00507AF4" w:rsidRDefault="00AB27B5" w:rsidP="0038150B">
      <w:pPr>
        <w:spacing w:before="240" w:after="0" w:line="240" w:lineRule="auto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>Additional items needed for LTH clients:</w:t>
      </w:r>
    </w:p>
    <w:p w14:paraId="650A17A6" w14:textId="6E13D57A" w:rsidR="00A24944" w:rsidRPr="00507AF4" w:rsidRDefault="00A24944" w:rsidP="0038150B">
      <w:pPr>
        <w:numPr>
          <w:ilvl w:val="0"/>
          <w:numId w:val="39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Review the CES </w:t>
      </w:r>
      <w:hyperlink r:id="rId12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Transfer Policy</w:t>
        </w:r>
      </w:hyperlink>
      <w:r w:rsidRPr="00507AF4">
        <w:rPr>
          <w:rFonts w:ascii="Segoe UI" w:hAnsi="Segoe UI" w:cs="Segoe UI"/>
          <w:sz w:val="21"/>
          <w:szCs w:val="21"/>
        </w:rPr>
        <w:t xml:space="preserve"> to make sure the client’s situation meets the requirements for a transfer</w:t>
      </w:r>
      <w:r w:rsidR="00507AF4" w:rsidRPr="00507AF4">
        <w:rPr>
          <w:rFonts w:ascii="Segoe UI" w:hAnsi="Segoe UI" w:cs="Segoe UI"/>
          <w:sz w:val="21"/>
          <w:szCs w:val="21"/>
        </w:rPr>
        <w:t xml:space="preserve"> and all action items are met on time</w:t>
      </w:r>
      <w:r w:rsidRPr="00507AF4">
        <w:rPr>
          <w:rFonts w:ascii="Segoe UI" w:hAnsi="Segoe UI" w:cs="Segoe UI"/>
          <w:sz w:val="21"/>
          <w:szCs w:val="21"/>
        </w:rPr>
        <w:t xml:space="preserve">. </w:t>
      </w:r>
    </w:p>
    <w:p w14:paraId="4C67B4E3" w14:textId="77777777" w:rsidR="00A24944" w:rsidRPr="00507AF4" w:rsidRDefault="00A24944" w:rsidP="0038150B">
      <w:pPr>
        <w:numPr>
          <w:ilvl w:val="0"/>
          <w:numId w:val="39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Once a new provider is identified, complete the </w:t>
      </w:r>
      <w:hyperlink r:id="rId13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Transfer Notification Form</w:t>
        </w:r>
      </w:hyperlink>
      <w:r w:rsidRPr="00507AF4">
        <w:rPr>
          <w:rFonts w:ascii="Segoe UI" w:hAnsi="Segoe UI" w:cs="Segoe UI"/>
          <w:sz w:val="21"/>
          <w:szCs w:val="21"/>
        </w:rPr>
        <w:t xml:space="preserve"> for CES.</w:t>
      </w:r>
    </w:p>
    <w:p w14:paraId="0F0B3305" w14:textId="77777777" w:rsidR="002D010C" w:rsidRPr="00507AF4" w:rsidRDefault="002D010C" w:rsidP="0038150B">
      <w:pPr>
        <w:numPr>
          <w:ilvl w:val="0"/>
          <w:numId w:val="39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Confirm that the Service Agreement has been updated via MNITS to the new provider.</w:t>
      </w:r>
    </w:p>
    <w:p w14:paraId="3A02274B" w14:textId="49EE3227" w:rsidR="00AE5E9C" w:rsidRPr="00507AF4" w:rsidRDefault="002D010C" w:rsidP="0038150B">
      <w:pPr>
        <w:numPr>
          <w:ilvl w:val="0"/>
          <w:numId w:val="39"/>
        </w:numPr>
        <w:spacing w:before="240" w:after="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Update HMIS.</w:t>
      </w:r>
    </w:p>
    <w:p w14:paraId="63EFAB69" w14:textId="77777777" w:rsidR="004E0B1D" w:rsidRPr="00507AF4" w:rsidRDefault="004E0B1D" w:rsidP="0038150B">
      <w:pPr>
        <w:spacing w:after="0" w:line="240" w:lineRule="auto"/>
        <w:ind w:left="720"/>
        <w:rPr>
          <w:rFonts w:ascii="Segoe UI" w:hAnsi="Segoe UI" w:cs="Segoe UI"/>
        </w:rPr>
      </w:pPr>
    </w:p>
    <w:p w14:paraId="736AB639" w14:textId="70E6B1AE" w:rsidR="004D2F5D" w:rsidRPr="00507AF4" w:rsidRDefault="00CA479B" w:rsidP="0038150B">
      <w:pPr>
        <w:spacing w:after="160" w:line="240" w:lineRule="auto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>What if my organization has been unable to locate a new provider?</w:t>
      </w:r>
    </w:p>
    <w:p w14:paraId="602285FE" w14:textId="2FD5C8A6" w:rsidR="00AE5E9C" w:rsidRPr="00507AF4" w:rsidRDefault="004D2F5D" w:rsidP="0038150B">
      <w:pPr>
        <w:pStyle w:val="ListParagraph"/>
        <w:numPr>
          <w:ilvl w:val="0"/>
          <w:numId w:val="36"/>
        </w:numPr>
        <w:spacing w:before="240" w:after="16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Email</w:t>
      </w:r>
      <w:r w:rsidR="00976011" w:rsidRPr="00507AF4">
        <w:rPr>
          <w:rFonts w:ascii="Segoe UI" w:hAnsi="Segoe UI" w:cs="Segoe UI"/>
          <w:sz w:val="21"/>
          <w:szCs w:val="21"/>
        </w:rPr>
        <w:t xml:space="preserve"> a copy of the </w:t>
      </w:r>
      <w:hyperlink r:id="rId14" w:history="1">
        <w:r w:rsidR="00976011" w:rsidRPr="00507AF4">
          <w:rPr>
            <w:rStyle w:val="Hyperlink"/>
            <w:rFonts w:ascii="Segoe UI" w:hAnsi="Segoe UI" w:cs="Segoe UI"/>
            <w:sz w:val="21"/>
            <w:szCs w:val="21"/>
          </w:rPr>
          <w:t>Community Housing Support Transfer Request Form</w:t>
        </w:r>
      </w:hyperlink>
      <w:r w:rsidR="00976011" w:rsidRPr="00507AF4">
        <w:rPr>
          <w:rFonts w:ascii="Segoe UI" w:hAnsi="Segoe UI" w:cs="Segoe UI"/>
          <w:sz w:val="21"/>
          <w:szCs w:val="21"/>
        </w:rPr>
        <w:t xml:space="preserve"> to</w:t>
      </w:r>
      <w:r w:rsidR="00507AF4" w:rsidRPr="00507AF4">
        <w:rPr>
          <w:rFonts w:ascii="Segoe UI" w:hAnsi="Segoe UI" w:cs="Segoe UI"/>
          <w:sz w:val="21"/>
          <w:szCs w:val="21"/>
        </w:rPr>
        <w:t xml:space="preserve"> </w:t>
      </w:r>
      <w:hyperlink r:id="rId15" w:history="1">
        <w:r w:rsidR="00507AF4" w:rsidRPr="00507AF4">
          <w:rPr>
            <w:rStyle w:val="Hyperlink"/>
            <w:rFonts w:ascii="Segoe UI" w:hAnsi="Segoe UI" w:cs="Segoe UI"/>
            <w:sz w:val="21"/>
            <w:szCs w:val="21"/>
          </w:rPr>
          <w:t>HS.Housing.GRH@hennepin.us</w:t>
        </w:r>
      </w:hyperlink>
      <w:r w:rsidR="00E7361A" w:rsidRPr="00507AF4">
        <w:rPr>
          <w:rFonts w:ascii="Segoe UI" w:hAnsi="Segoe UI" w:cs="Segoe UI"/>
          <w:sz w:val="21"/>
          <w:szCs w:val="21"/>
        </w:rPr>
        <w:t xml:space="preserve"> and include the list or providers you contacted. </w:t>
      </w:r>
    </w:p>
    <w:p w14:paraId="5BE1DAAE" w14:textId="77777777" w:rsidR="001E77C3" w:rsidRPr="00507AF4" w:rsidRDefault="001E77C3" w:rsidP="0038150B">
      <w:pPr>
        <w:pStyle w:val="ListParagraph"/>
        <w:spacing w:before="240" w:after="160" w:line="240" w:lineRule="auto"/>
        <w:rPr>
          <w:rFonts w:ascii="Segoe UI" w:hAnsi="Segoe UI" w:cs="Segoe UI"/>
          <w:sz w:val="21"/>
          <w:szCs w:val="21"/>
        </w:rPr>
      </w:pPr>
    </w:p>
    <w:p w14:paraId="1EB53AA9" w14:textId="36E25DB0" w:rsidR="0007347C" w:rsidRPr="00507AF4" w:rsidRDefault="00976011" w:rsidP="0038150B">
      <w:pPr>
        <w:pStyle w:val="ListParagraph"/>
        <w:numPr>
          <w:ilvl w:val="0"/>
          <w:numId w:val="36"/>
        </w:numPr>
        <w:spacing w:before="240" w:after="160" w:line="240" w:lineRule="auto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For LTH clients: </w:t>
      </w:r>
      <w:r w:rsidR="00D137C3" w:rsidRPr="00507AF4">
        <w:rPr>
          <w:rFonts w:ascii="Segoe UI" w:hAnsi="Segoe UI" w:cs="Segoe UI"/>
          <w:sz w:val="21"/>
          <w:szCs w:val="21"/>
        </w:rPr>
        <w:t xml:space="preserve">If your Program Lead </w:t>
      </w:r>
      <w:r w:rsidR="0007347C" w:rsidRPr="00507AF4">
        <w:rPr>
          <w:rFonts w:ascii="Segoe UI" w:hAnsi="Segoe UI" w:cs="Segoe UI"/>
          <w:sz w:val="21"/>
          <w:szCs w:val="21"/>
        </w:rPr>
        <w:t>still can’t find a provider</w:t>
      </w:r>
      <w:r w:rsidR="00D137C3" w:rsidRPr="00507AF4">
        <w:rPr>
          <w:rFonts w:ascii="Segoe UI" w:hAnsi="Segoe UI" w:cs="Segoe UI"/>
          <w:sz w:val="21"/>
          <w:szCs w:val="21"/>
        </w:rPr>
        <w:t xml:space="preserve">, email </w:t>
      </w:r>
      <w:hyperlink r:id="rId16" w:history="1">
        <w:r w:rsidR="007D4AFB" w:rsidRPr="00507AF4">
          <w:rPr>
            <w:rStyle w:val="Hyperlink"/>
            <w:rFonts w:ascii="Segoe UI" w:hAnsi="Segoe UI" w:cs="Segoe UI"/>
            <w:sz w:val="21"/>
            <w:szCs w:val="21"/>
          </w:rPr>
          <w:t>CES.Hennepin@hennepin.us</w:t>
        </w:r>
      </w:hyperlink>
      <w:r w:rsidR="007D4AFB" w:rsidRPr="00507AF4">
        <w:rPr>
          <w:rFonts w:ascii="Segoe UI" w:hAnsi="Segoe UI" w:cs="Segoe UI"/>
          <w:sz w:val="21"/>
          <w:szCs w:val="21"/>
        </w:rPr>
        <w:t xml:space="preserve"> to request assistance</w:t>
      </w:r>
      <w:r w:rsidR="00AC3F68" w:rsidRPr="00507AF4">
        <w:rPr>
          <w:rFonts w:ascii="Segoe UI" w:hAnsi="Segoe UI" w:cs="Segoe UI"/>
          <w:sz w:val="21"/>
          <w:szCs w:val="21"/>
        </w:rPr>
        <w:t xml:space="preserve"> </w:t>
      </w:r>
      <w:r w:rsidR="0007347C" w:rsidRPr="00507AF4">
        <w:rPr>
          <w:rFonts w:ascii="Segoe UI" w:hAnsi="Segoe UI" w:cs="Segoe UI"/>
          <w:b/>
          <w:bCs/>
          <w:i/>
          <w:iCs/>
          <w:sz w:val="21"/>
          <w:szCs w:val="21"/>
        </w:rPr>
        <w:t>before discharging the client</w:t>
      </w:r>
      <w:r w:rsidR="00AC3F68" w:rsidRPr="00507AF4">
        <w:rPr>
          <w:rFonts w:ascii="Segoe UI" w:hAnsi="Segoe UI" w:cs="Segoe UI"/>
          <w:sz w:val="21"/>
          <w:szCs w:val="21"/>
        </w:rPr>
        <w:t xml:space="preserve">. </w:t>
      </w:r>
      <w:r w:rsidR="001D1C9A" w:rsidRPr="00507AF4">
        <w:rPr>
          <w:rFonts w:ascii="Segoe UI" w:hAnsi="Segoe UI" w:cs="Segoe UI"/>
          <w:sz w:val="21"/>
          <w:szCs w:val="21"/>
        </w:rPr>
        <w:t xml:space="preserve">Include the steps you took to identify a new provider. </w:t>
      </w:r>
    </w:p>
    <w:p w14:paraId="7BFB88E5" w14:textId="41FAAD7E" w:rsidR="00032531" w:rsidRPr="00507AF4" w:rsidRDefault="00E51D60" w:rsidP="00032531">
      <w:pPr>
        <w:spacing w:before="240"/>
        <w:rPr>
          <w:rFonts w:ascii="Segoe UI" w:hAnsi="Segoe UI" w:cs="Segoe UI"/>
        </w:rPr>
      </w:pPr>
      <w:r w:rsidRPr="00507AF4">
        <w:rPr>
          <w:rFonts w:ascii="Segoe UI" w:hAnsi="Segoe UI" w:cs="Segoe UI"/>
          <w:b/>
          <w:bCs/>
        </w:rPr>
        <w:br w:type="page"/>
      </w:r>
      <w:r w:rsidR="004642DD" w:rsidRPr="00507AF4">
        <w:rPr>
          <w:rFonts w:ascii="Segoe UI" w:eastAsiaTheme="majorEastAsia" w:hAnsi="Segoe UI" w:cs="Segoe UI"/>
          <w:color w:val="0058A4"/>
          <w:sz w:val="28"/>
          <w:szCs w:val="28"/>
        </w:rPr>
        <w:lastRenderedPageBreak/>
        <w:t xml:space="preserve">Providers should follow best practices to ensure all clients receive equitable treatment during the discharge process. </w:t>
      </w:r>
    </w:p>
    <w:p w14:paraId="7C2CCDD2" w14:textId="7BBFC5FA" w:rsidR="00C259A7" w:rsidRPr="00507AF4" w:rsidRDefault="00C259A7" w:rsidP="00882337">
      <w:pPr>
        <w:spacing w:after="160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 xml:space="preserve">Things to Consider </w:t>
      </w:r>
      <w:r w:rsidR="00192F96" w:rsidRPr="00507AF4">
        <w:rPr>
          <w:rFonts w:ascii="Segoe UI" w:hAnsi="Segoe UI" w:cs="Segoe UI"/>
          <w:b/>
          <w:bCs/>
        </w:rPr>
        <w:t>Before</w:t>
      </w:r>
      <w:r w:rsidRPr="00507AF4">
        <w:rPr>
          <w:rFonts w:ascii="Segoe UI" w:hAnsi="Segoe UI" w:cs="Segoe UI"/>
          <w:b/>
          <w:bCs/>
        </w:rPr>
        <w:t xml:space="preserve"> a Program Discharge: </w:t>
      </w:r>
    </w:p>
    <w:p w14:paraId="0BA6912B" w14:textId="34C8FB85" w:rsidR="00777D4A" w:rsidRPr="00507AF4" w:rsidRDefault="00DB7D15" w:rsidP="00CE72A6">
      <w:p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According to </w:t>
      </w:r>
      <w:hyperlink r:id="rId17" w:history="1">
        <w:r w:rsidR="00E670EE" w:rsidRPr="00507AF4">
          <w:rPr>
            <w:rStyle w:val="Hyperlink"/>
            <w:rFonts w:ascii="Segoe UI" w:hAnsi="Segoe UI" w:cs="Segoe UI"/>
            <w:sz w:val="21"/>
            <w:szCs w:val="21"/>
          </w:rPr>
          <w:t>Fidelity Standards</w:t>
        </w:r>
      </w:hyperlink>
      <w:r w:rsidR="00E670EE" w:rsidRPr="00507AF4">
        <w:rPr>
          <w:rFonts w:ascii="Segoe UI" w:hAnsi="Segoe UI" w:cs="Segoe UI"/>
          <w:sz w:val="21"/>
          <w:szCs w:val="21"/>
        </w:rPr>
        <w:t xml:space="preserve"> for community-based Housing Support</w:t>
      </w:r>
      <w:r w:rsidR="00777D4A" w:rsidRPr="00507AF4">
        <w:rPr>
          <w:rFonts w:ascii="Segoe UI" w:hAnsi="Segoe UI" w:cs="Segoe UI"/>
          <w:sz w:val="21"/>
          <w:szCs w:val="21"/>
        </w:rPr>
        <w:t>:</w:t>
      </w:r>
    </w:p>
    <w:p w14:paraId="0A0F1F12" w14:textId="77777777" w:rsidR="00813C6D" w:rsidRPr="00507AF4" w:rsidRDefault="002D57D4" w:rsidP="00813C6D">
      <w:pPr>
        <w:pStyle w:val="ListParagraph"/>
        <w:numPr>
          <w:ilvl w:val="0"/>
          <w:numId w:val="38"/>
        </w:num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Providers should attempt to mitigate eviction and mutual lease terminations. The client’s file should include documentation of all efforts. </w:t>
      </w:r>
    </w:p>
    <w:p w14:paraId="7B3D1A88" w14:textId="77777777" w:rsidR="00813C6D" w:rsidRPr="00507AF4" w:rsidRDefault="00813C6D" w:rsidP="00813C6D">
      <w:pPr>
        <w:pStyle w:val="ListParagraph"/>
        <w:spacing w:before="240"/>
        <w:rPr>
          <w:rFonts w:ascii="Segoe UI" w:hAnsi="Segoe UI" w:cs="Segoe UI"/>
          <w:sz w:val="21"/>
          <w:szCs w:val="21"/>
        </w:rPr>
      </w:pPr>
    </w:p>
    <w:p w14:paraId="54AC312B" w14:textId="77777777" w:rsidR="00813C6D" w:rsidRPr="00507AF4" w:rsidRDefault="00CE72A6" w:rsidP="00813C6D">
      <w:pPr>
        <w:pStyle w:val="ListParagraph"/>
        <w:numPr>
          <w:ilvl w:val="0"/>
          <w:numId w:val="38"/>
        </w:num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Clients who have lost their housing must have a plan to address the behaviors that led to the housing loss to prevent repeated loss of housing. </w:t>
      </w:r>
    </w:p>
    <w:p w14:paraId="1A6195C7" w14:textId="77777777" w:rsidR="005D0B57" w:rsidRPr="00507AF4" w:rsidRDefault="005D0B57" w:rsidP="005D0B57">
      <w:pPr>
        <w:pStyle w:val="ListParagraph"/>
        <w:rPr>
          <w:rFonts w:ascii="Segoe UI" w:hAnsi="Segoe UI" w:cs="Segoe UI"/>
          <w:sz w:val="21"/>
          <w:szCs w:val="21"/>
        </w:rPr>
      </w:pPr>
    </w:p>
    <w:p w14:paraId="2C3578A1" w14:textId="366B6769" w:rsidR="005D0B57" w:rsidRPr="00507AF4" w:rsidRDefault="005D0B57" w:rsidP="00813C6D">
      <w:pPr>
        <w:pStyle w:val="ListParagraph"/>
        <w:numPr>
          <w:ilvl w:val="0"/>
          <w:numId w:val="38"/>
        </w:num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It is best practice to attempt a transfer prior to discharge.</w:t>
      </w:r>
    </w:p>
    <w:p w14:paraId="303D54C4" w14:textId="77777777" w:rsidR="00813C6D" w:rsidRPr="00507AF4" w:rsidRDefault="00813C6D" w:rsidP="00813C6D">
      <w:pPr>
        <w:pStyle w:val="ListParagraph"/>
        <w:spacing w:before="240"/>
        <w:rPr>
          <w:rFonts w:ascii="Segoe UI" w:hAnsi="Segoe UI" w:cs="Segoe UI"/>
          <w:sz w:val="21"/>
          <w:szCs w:val="21"/>
        </w:rPr>
      </w:pPr>
    </w:p>
    <w:p w14:paraId="33BEF762" w14:textId="079405B9" w:rsidR="005E2FBB" w:rsidRPr="00507AF4" w:rsidRDefault="00CE72A6" w:rsidP="00813C6D">
      <w:pPr>
        <w:pStyle w:val="ListParagraph"/>
        <w:numPr>
          <w:ilvl w:val="0"/>
          <w:numId w:val="38"/>
        </w:num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Upon discharge the provider will complete an exit plan to the extent possible. </w:t>
      </w:r>
    </w:p>
    <w:p w14:paraId="0D06CEB6" w14:textId="0C6B9252" w:rsidR="00813C6D" w:rsidRPr="00507AF4" w:rsidRDefault="00CE72A6" w:rsidP="00C259A7">
      <w:p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It is required that each provider has a discharge policy, and this policy should be provided to the </w:t>
      </w:r>
      <w:r w:rsidR="00777D4A" w:rsidRPr="00507AF4">
        <w:rPr>
          <w:rFonts w:ascii="Segoe UI" w:hAnsi="Segoe UI" w:cs="Segoe UI"/>
          <w:sz w:val="21"/>
          <w:szCs w:val="21"/>
        </w:rPr>
        <w:t>client.</w:t>
      </w:r>
    </w:p>
    <w:p w14:paraId="2665F8D3" w14:textId="3BE9A25E" w:rsidR="00DB7D15" w:rsidRPr="00507AF4" w:rsidRDefault="00DB7D15" w:rsidP="00C259A7">
      <w:pPr>
        <w:spacing w:before="240"/>
        <w:rPr>
          <w:rFonts w:ascii="Segoe UI" w:hAnsi="Segoe UI" w:cs="Segoe UI"/>
          <w:b/>
          <w:bCs/>
        </w:rPr>
      </w:pPr>
      <w:r w:rsidRPr="00507AF4">
        <w:rPr>
          <w:rFonts w:ascii="Segoe UI" w:hAnsi="Segoe UI" w:cs="Segoe UI"/>
          <w:b/>
          <w:bCs/>
        </w:rPr>
        <w:t>Exit Plan</w:t>
      </w:r>
    </w:p>
    <w:p w14:paraId="46863491" w14:textId="49CF07AB" w:rsidR="00903C3D" w:rsidRPr="00507AF4" w:rsidRDefault="009366A2" w:rsidP="00C259A7">
      <w:p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Connect with the client to create an exit plan. </w:t>
      </w:r>
      <w:r w:rsidR="00903C3D" w:rsidRPr="00507AF4">
        <w:rPr>
          <w:rFonts w:ascii="Segoe UI" w:hAnsi="Segoe UI" w:cs="Segoe UI"/>
          <w:sz w:val="21"/>
          <w:szCs w:val="21"/>
        </w:rPr>
        <w:t>Work with the client to identify case managers or social workers outside of your organization that you can partner with to create an exit plan and share resources with.</w:t>
      </w:r>
      <w:r w:rsidR="00E57A06" w:rsidRPr="00507AF4">
        <w:rPr>
          <w:rFonts w:ascii="Segoe UI" w:hAnsi="Segoe UI" w:cs="Segoe UI"/>
          <w:sz w:val="21"/>
          <w:szCs w:val="21"/>
        </w:rPr>
        <w:t xml:space="preserve"> </w:t>
      </w:r>
    </w:p>
    <w:p w14:paraId="084AD05A" w14:textId="532E293D" w:rsidR="009366A2" w:rsidRPr="00507AF4" w:rsidRDefault="009366A2" w:rsidP="00C259A7">
      <w:p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The exit plan should include </w:t>
      </w:r>
      <w:r w:rsidR="00D40A47" w:rsidRPr="00507AF4">
        <w:rPr>
          <w:rFonts w:ascii="Segoe UI" w:hAnsi="Segoe UI" w:cs="Segoe UI"/>
          <w:sz w:val="21"/>
          <w:szCs w:val="21"/>
        </w:rPr>
        <w:t>information about:</w:t>
      </w:r>
    </w:p>
    <w:p w14:paraId="5EC4702F" w14:textId="61DBB1EE" w:rsidR="00720A78" w:rsidRPr="00507AF4" w:rsidRDefault="00720A78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Budget – </w:t>
      </w:r>
      <w:r w:rsidR="00E112D0" w:rsidRPr="00507AF4">
        <w:rPr>
          <w:rFonts w:ascii="Segoe UI" w:hAnsi="Segoe UI" w:cs="Segoe UI"/>
          <w:sz w:val="21"/>
          <w:szCs w:val="21"/>
        </w:rPr>
        <w:t xml:space="preserve">Income and housing expenses such as rent, utilities, phone, cable, etc. </w:t>
      </w:r>
    </w:p>
    <w:p w14:paraId="6488AAE0" w14:textId="39A41A67" w:rsidR="00720A78" w:rsidRPr="00507AF4" w:rsidRDefault="00E05F94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 xml:space="preserve">Rent Ledger – </w:t>
      </w:r>
      <w:r w:rsidR="005F586F" w:rsidRPr="00507AF4">
        <w:rPr>
          <w:rFonts w:ascii="Segoe UI" w:hAnsi="Segoe UI" w:cs="Segoe UI"/>
          <w:sz w:val="21"/>
          <w:szCs w:val="21"/>
        </w:rPr>
        <w:t>The</w:t>
      </w:r>
      <w:r w:rsidR="00430B42" w:rsidRPr="00507AF4">
        <w:rPr>
          <w:rFonts w:ascii="Segoe UI" w:hAnsi="Segoe UI" w:cs="Segoe UI"/>
          <w:sz w:val="21"/>
          <w:szCs w:val="21"/>
        </w:rPr>
        <w:t xml:space="preserve"> current rental balance is (current, negative or credit) </w:t>
      </w:r>
    </w:p>
    <w:p w14:paraId="27C5BF03" w14:textId="74F1542C" w:rsidR="00D40A47" w:rsidRPr="00507AF4" w:rsidRDefault="00D40A47" w:rsidP="00D40A47">
      <w:pPr>
        <w:spacing w:before="240"/>
        <w:rPr>
          <w:rFonts w:ascii="Segoe UI" w:hAnsi="Segoe UI" w:cs="Segoe UI"/>
          <w:sz w:val="21"/>
          <w:szCs w:val="21"/>
        </w:rPr>
      </w:pPr>
      <w:r w:rsidRPr="00507AF4">
        <w:rPr>
          <w:rFonts w:ascii="Segoe UI" w:hAnsi="Segoe UI" w:cs="Segoe UI"/>
          <w:sz w:val="21"/>
          <w:szCs w:val="21"/>
        </w:rPr>
        <w:t>The exit plan should include resources such as:</w:t>
      </w:r>
    </w:p>
    <w:p w14:paraId="232028B8" w14:textId="7347A79F" w:rsidR="002C64E2" w:rsidRPr="00507AF4" w:rsidRDefault="002C64E2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hyperlink r:id="rId18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HB101</w:t>
        </w:r>
        <w:r w:rsidR="00DA496B" w:rsidRPr="00507AF4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r w:rsidR="00AE54FA" w:rsidRPr="00507AF4">
          <w:rPr>
            <w:rStyle w:val="Hyperlink"/>
            <w:rFonts w:ascii="Segoe UI" w:hAnsi="Segoe UI" w:cs="Segoe UI"/>
            <w:sz w:val="21"/>
            <w:szCs w:val="21"/>
          </w:rPr>
          <w:t>Places</w:t>
        </w:r>
      </w:hyperlink>
      <w:r w:rsidR="00AE54FA" w:rsidRPr="00507AF4">
        <w:rPr>
          <w:rFonts w:ascii="Segoe UI" w:hAnsi="Segoe UI" w:cs="Segoe UI"/>
          <w:sz w:val="21"/>
          <w:szCs w:val="21"/>
        </w:rPr>
        <w:t xml:space="preserve"> </w:t>
      </w:r>
      <w:r w:rsidR="001B5D5E" w:rsidRPr="00507AF4">
        <w:rPr>
          <w:rFonts w:ascii="Segoe UI" w:hAnsi="Segoe UI" w:cs="Segoe UI"/>
          <w:sz w:val="21"/>
          <w:szCs w:val="21"/>
        </w:rPr>
        <w:t>–</w:t>
      </w:r>
      <w:r w:rsidR="00AE54FA" w:rsidRPr="00507AF4">
        <w:rPr>
          <w:rFonts w:ascii="Segoe UI" w:hAnsi="Segoe UI" w:cs="Segoe UI"/>
          <w:sz w:val="21"/>
          <w:szCs w:val="21"/>
        </w:rPr>
        <w:t xml:space="preserve"> </w:t>
      </w:r>
      <w:r w:rsidR="001B5D5E" w:rsidRPr="00507AF4">
        <w:rPr>
          <w:rFonts w:ascii="Segoe UI" w:hAnsi="Segoe UI" w:cs="Segoe UI"/>
          <w:sz w:val="21"/>
          <w:szCs w:val="21"/>
        </w:rPr>
        <w:t xml:space="preserve">A website where you can find openings for all Housing Support settings, including Board &amp; Lodges. </w:t>
      </w:r>
    </w:p>
    <w:p w14:paraId="7A75C13D" w14:textId="7F89D315" w:rsidR="002C64E2" w:rsidRPr="00507AF4" w:rsidRDefault="002C64E2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hyperlink r:id="rId19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HousingLink</w:t>
        </w:r>
      </w:hyperlink>
      <w:r w:rsidR="00CF2802" w:rsidRPr="00507AF4">
        <w:rPr>
          <w:rFonts w:ascii="Segoe UI" w:hAnsi="Segoe UI" w:cs="Segoe UI"/>
          <w:sz w:val="21"/>
          <w:szCs w:val="21"/>
        </w:rPr>
        <w:t xml:space="preserve"> – A website where you can find information about Section 8 vouchers and other affordable housing opportunities. </w:t>
      </w:r>
    </w:p>
    <w:p w14:paraId="669E6F75" w14:textId="01FEA2AC" w:rsidR="002C64E2" w:rsidRPr="00507AF4" w:rsidRDefault="002C64E2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hyperlink r:id="rId20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LegalAid</w:t>
        </w:r>
      </w:hyperlink>
      <w:r w:rsidR="00491058" w:rsidRPr="00507AF4">
        <w:rPr>
          <w:rFonts w:ascii="Segoe UI" w:hAnsi="Segoe UI" w:cs="Segoe UI"/>
          <w:sz w:val="21"/>
          <w:szCs w:val="21"/>
        </w:rPr>
        <w:t xml:space="preserve"> – A website where you can find</w:t>
      </w:r>
      <w:r w:rsidR="003B2224" w:rsidRPr="00507AF4">
        <w:rPr>
          <w:rFonts w:ascii="Segoe UI" w:hAnsi="Segoe UI" w:cs="Segoe UI"/>
          <w:sz w:val="21"/>
          <w:szCs w:val="21"/>
        </w:rPr>
        <w:t xml:space="preserve"> legal information and resources. </w:t>
      </w:r>
      <w:r w:rsidR="00491058" w:rsidRPr="00507AF4">
        <w:rPr>
          <w:rFonts w:ascii="Segoe UI" w:hAnsi="Segoe UI" w:cs="Segoe UI"/>
          <w:sz w:val="21"/>
          <w:szCs w:val="21"/>
        </w:rPr>
        <w:t xml:space="preserve"> </w:t>
      </w:r>
    </w:p>
    <w:p w14:paraId="13C7AB74" w14:textId="736C2398" w:rsidR="008A573E" w:rsidRPr="00507AF4" w:rsidRDefault="008A573E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hyperlink r:id="rId21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Front Door</w:t>
        </w:r>
      </w:hyperlink>
      <w:r w:rsidR="00430B42" w:rsidRPr="00507AF4">
        <w:rPr>
          <w:rFonts w:ascii="Segoe UI" w:hAnsi="Segoe UI" w:cs="Segoe UI"/>
          <w:sz w:val="21"/>
          <w:szCs w:val="21"/>
        </w:rPr>
        <w:t xml:space="preserve"> </w:t>
      </w:r>
      <w:r w:rsidR="0036510E" w:rsidRPr="00507AF4">
        <w:rPr>
          <w:rFonts w:ascii="Segoe UI" w:hAnsi="Segoe UI" w:cs="Segoe UI"/>
          <w:sz w:val="21"/>
          <w:szCs w:val="21"/>
        </w:rPr>
        <w:t>–</w:t>
      </w:r>
      <w:r w:rsidR="00430B42" w:rsidRPr="00507AF4">
        <w:rPr>
          <w:rFonts w:ascii="Segoe UI" w:hAnsi="Segoe UI" w:cs="Segoe UI"/>
          <w:sz w:val="21"/>
          <w:szCs w:val="21"/>
        </w:rPr>
        <w:t xml:space="preserve"> </w:t>
      </w:r>
      <w:r w:rsidR="0036510E" w:rsidRPr="00507AF4">
        <w:rPr>
          <w:rFonts w:ascii="Segoe UI" w:hAnsi="Segoe UI" w:cs="Segoe UI"/>
          <w:sz w:val="21"/>
          <w:szCs w:val="21"/>
        </w:rPr>
        <w:t xml:space="preserve">Hennepin County’s </w:t>
      </w:r>
      <w:r w:rsidR="004C751C" w:rsidRPr="00507AF4">
        <w:rPr>
          <w:rFonts w:ascii="Segoe UI" w:hAnsi="Segoe UI" w:cs="Segoe UI"/>
          <w:sz w:val="21"/>
          <w:szCs w:val="21"/>
        </w:rPr>
        <w:t xml:space="preserve">first point of contact for residents seeking voluntary social services. </w:t>
      </w:r>
    </w:p>
    <w:p w14:paraId="6E094DF1" w14:textId="261E13C0" w:rsidR="008A573E" w:rsidRPr="00507AF4" w:rsidRDefault="008807DB" w:rsidP="00A24944">
      <w:pPr>
        <w:numPr>
          <w:ilvl w:val="1"/>
          <w:numId w:val="39"/>
        </w:numPr>
        <w:spacing w:after="160"/>
        <w:ind w:left="720"/>
        <w:rPr>
          <w:rFonts w:ascii="Segoe UI" w:hAnsi="Segoe UI" w:cs="Segoe UI"/>
          <w:sz w:val="21"/>
          <w:szCs w:val="21"/>
        </w:rPr>
      </w:pPr>
      <w:hyperlink r:id="rId22" w:history="1">
        <w:r w:rsidRPr="00507AF4">
          <w:rPr>
            <w:rStyle w:val="Hyperlink"/>
            <w:rFonts w:ascii="Segoe UI" w:hAnsi="Segoe UI" w:cs="Segoe UI"/>
            <w:sz w:val="21"/>
            <w:szCs w:val="21"/>
          </w:rPr>
          <w:t>Homelessness and housing resources</w:t>
        </w:r>
      </w:hyperlink>
      <w:r w:rsidR="00813C6D" w:rsidRPr="00507AF4">
        <w:rPr>
          <w:rFonts w:ascii="Segoe UI" w:hAnsi="Segoe UI" w:cs="Segoe UI"/>
          <w:sz w:val="21"/>
          <w:szCs w:val="21"/>
        </w:rPr>
        <w:t xml:space="preserve"> </w:t>
      </w:r>
      <w:r w:rsidRPr="00507AF4">
        <w:rPr>
          <w:rFonts w:ascii="Segoe UI" w:hAnsi="Segoe UI" w:cs="Segoe UI"/>
          <w:sz w:val="21"/>
          <w:szCs w:val="21"/>
        </w:rPr>
        <w:t xml:space="preserve">- including information on finding emergency shelter. </w:t>
      </w:r>
    </w:p>
    <w:p w14:paraId="67AE8020" w14:textId="6DA0092C" w:rsidR="008D4866" w:rsidRPr="00EB5DDE" w:rsidRDefault="00507AF4" w:rsidP="005E2FBB">
      <w:pPr>
        <w:spacing w:after="160"/>
        <w:rPr>
          <w:rFonts w:ascii="Segoe UI" w:hAnsi="Segoe UI" w:cs="Segoe UI"/>
          <w:b/>
          <w:bCs/>
        </w:rPr>
      </w:pPr>
      <w:r w:rsidRPr="00EB5DDE">
        <w:rPr>
          <w:rFonts w:ascii="Segoe UI" w:hAnsi="Segoe UI" w:cs="Segoe UI"/>
          <w:b/>
          <w:bCs/>
        </w:rPr>
        <w:t>Case Notes</w:t>
      </w:r>
    </w:p>
    <w:p w14:paraId="4767EAB4" w14:textId="1FFA80D4" w:rsidR="00507AF4" w:rsidRPr="00EB5DDE" w:rsidRDefault="00EB5DDE" w:rsidP="005E2FBB">
      <w:pPr>
        <w:spacing w:after="160"/>
        <w:rPr>
          <w:rFonts w:ascii="Segoe UI" w:hAnsi="Segoe UI" w:cs="Segoe UI"/>
          <w:sz w:val="21"/>
          <w:szCs w:val="21"/>
        </w:rPr>
      </w:pPr>
      <w:r w:rsidRPr="00EB5DDE">
        <w:rPr>
          <w:rFonts w:ascii="Segoe UI" w:hAnsi="Segoe UI" w:cs="Segoe UI"/>
          <w:sz w:val="21"/>
          <w:szCs w:val="21"/>
        </w:rPr>
        <w:t>The client file should clearly show all steps taken to complete the process, with thorough documentation of due diligence.</w:t>
      </w:r>
    </w:p>
    <w:sectPr w:rsidR="00507AF4" w:rsidRPr="00EB5DDE" w:rsidSect="001E0287">
      <w:footerReference w:type="default" r:id="rId23"/>
      <w:headerReference w:type="first" r:id="rId24"/>
      <w:footerReference w:type="first" r:id="rId25"/>
      <w:pgSz w:w="12240" w:h="15840"/>
      <w:pgMar w:top="576" w:right="720" w:bottom="576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0DF7" w14:textId="77777777" w:rsidR="005618CB" w:rsidRDefault="005618CB" w:rsidP="00200098">
      <w:pPr>
        <w:spacing w:after="0" w:line="240" w:lineRule="auto"/>
      </w:pPr>
      <w:r>
        <w:separator/>
      </w:r>
    </w:p>
  </w:endnote>
  <w:endnote w:type="continuationSeparator" w:id="0">
    <w:p w14:paraId="441170EA" w14:textId="77777777" w:rsidR="005618CB" w:rsidRDefault="005618CB" w:rsidP="00200098">
      <w:pPr>
        <w:spacing w:after="0" w:line="240" w:lineRule="auto"/>
      </w:pPr>
      <w:r>
        <w:continuationSeparator/>
      </w:r>
    </w:p>
  </w:endnote>
  <w:endnote w:type="continuationNotice" w:id="1">
    <w:p w14:paraId="782E39F6" w14:textId="77777777" w:rsidR="005618CB" w:rsidRDefault="005618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7FFE" w14:textId="77777777" w:rsidR="00186741" w:rsidRDefault="00186741" w:rsidP="00186741">
    <w:pPr>
      <w:pStyle w:val="Footer"/>
      <w:spacing w:before="720"/>
    </w:pPr>
    <w:r>
      <w:rPr>
        <w:noProof/>
      </w:rPr>
      <w:drawing>
        <wp:anchor distT="0" distB="0" distL="114300" distR="114300" simplePos="0" relativeHeight="251660289" behindDoc="0" locked="0" layoutInCell="1" allowOverlap="1" wp14:anchorId="31D1E43E" wp14:editId="5C2DF284">
          <wp:simplePos x="0" y="0"/>
          <wp:positionH relativeFrom="margin">
            <wp:posOffset>6334125</wp:posOffset>
          </wp:positionH>
          <wp:positionV relativeFrom="paragraph">
            <wp:posOffset>184785</wp:posOffset>
          </wp:positionV>
          <wp:extent cx="428625" cy="542925"/>
          <wp:effectExtent l="0" t="0" r="9525" b="9525"/>
          <wp:wrapThrough wrapText="bothSides">
            <wp:wrapPolygon edited="0">
              <wp:start x="0" y="0"/>
              <wp:lineTo x="0" y="21221"/>
              <wp:lineTo x="21120" y="21221"/>
              <wp:lineTo x="21120" y="0"/>
              <wp:lineTo x="0" y="0"/>
            </wp:wrapPolygon>
          </wp:wrapThrough>
          <wp:docPr id="1256191617" name="Picture 1256191617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>
      <w:rPr>
        <w:rFonts w:ascii="Segoe UI Semibold" w:hAnsi="Segoe UI Semibold" w:cs="Segoe UI Semibold"/>
      </w:rPr>
      <w:t>Housing Stability</w:t>
    </w:r>
  </w:p>
  <w:p w14:paraId="30290C84" w14:textId="77777777" w:rsidR="00186741" w:rsidRPr="00200098" w:rsidRDefault="00186741" w:rsidP="00186741">
    <w:pPr>
      <w:pStyle w:val="NoSpacing"/>
      <w:spacing w:before="20"/>
    </w:pPr>
  </w:p>
  <w:p w14:paraId="715C1181" w14:textId="77777777" w:rsidR="00186741" w:rsidRDefault="00186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2202" w14:textId="6B158D4E" w:rsidR="00DB36A5" w:rsidRDefault="00DB36A5" w:rsidP="00DB36A5">
    <w:pPr>
      <w:pStyle w:val="Footer"/>
      <w:spacing w:befor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9D3CDAC" wp14:editId="01D51CB2">
          <wp:simplePos x="0" y="0"/>
          <wp:positionH relativeFrom="margin">
            <wp:posOffset>6334125</wp:posOffset>
          </wp:positionH>
          <wp:positionV relativeFrom="paragraph">
            <wp:posOffset>184785</wp:posOffset>
          </wp:positionV>
          <wp:extent cx="428625" cy="542925"/>
          <wp:effectExtent l="0" t="0" r="9525" b="9525"/>
          <wp:wrapThrough wrapText="bothSides">
            <wp:wrapPolygon edited="0">
              <wp:start x="0" y="0"/>
              <wp:lineTo x="0" y="21221"/>
              <wp:lineTo x="21120" y="21221"/>
              <wp:lineTo x="21120" y="0"/>
              <wp:lineTo x="0" y="0"/>
            </wp:wrapPolygon>
          </wp:wrapThrough>
          <wp:docPr id="1731336916" name="Picture 1731336916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 w:rsidR="00153AE5">
      <w:rPr>
        <w:rFonts w:ascii="Segoe UI Semibold" w:hAnsi="Segoe UI Semibold" w:cs="Segoe UI Semibold"/>
      </w:rPr>
      <w:t>Housing Stability</w:t>
    </w:r>
  </w:p>
  <w:p w14:paraId="5E947A65" w14:textId="77777777" w:rsidR="00200098" w:rsidRPr="00200098" w:rsidRDefault="00200098" w:rsidP="00272F77">
    <w:pPr>
      <w:pStyle w:val="NoSpacing"/>
      <w:spacing w:before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95BD" w14:textId="77777777" w:rsidR="005618CB" w:rsidRDefault="005618CB" w:rsidP="00200098">
      <w:pPr>
        <w:spacing w:after="0" w:line="240" w:lineRule="auto"/>
      </w:pPr>
      <w:r>
        <w:separator/>
      </w:r>
    </w:p>
  </w:footnote>
  <w:footnote w:type="continuationSeparator" w:id="0">
    <w:p w14:paraId="5F1BB5DD" w14:textId="77777777" w:rsidR="005618CB" w:rsidRDefault="005618CB" w:rsidP="00200098">
      <w:pPr>
        <w:spacing w:after="0" w:line="240" w:lineRule="auto"/>
      </w:pPr>
      <w:r>
        <w:continuationSeparator/>
      </w:r>
    </w:p>
  </w:footnote>
  <w:footnote w:type="continuationNotice" w:id="1">
    <w:p w14:paraId="7DC54674" w14:textId="77777777" w:rsidR="005618CB" w:rsidRDefault="005618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44DF" w14:textId="77777777" w:rsidR="00200098" w:rsidRDefault="00FE0207">
    <w:pPr>
      <w:pStyle w:val="Header"/>
    </w:pPr>
    <w:r w:rsidRPr="002C18C9">
      <w:rPr>
        <w:noProof/>
        <w:lang w:bidi="he-IL"/>
      </w:rPr>
      <w:drawing>
        <wp:anchor distT="0" distB="0" distL="114300" distR="114300" simplePos="0" relativeHeight="251658240" behindDoc="1" locked="1" layoutInCell="1" allowOverlap="1" wp14:anchorId="15EAF980" wp14:editId="72726684">
          <wp:simplePos x="0" y="0"/>
          <wp:positionH relativeFrom="margin">
            <wp:posOffset>-228600</wp:posOffset>
          </wp:positionH>
          <wp:positionV relativeFrom="page">
            <wp:posOffset>211455</wp:posOffset>
          </wp:positionV>
          <wp:extent cx="7315200" cy="2139315"/>
          <wp:effectExtent l="0" t="0" r="0" b="0"/>
          <wp:wrapNone/>
          <wp:docPr id="587561880" name="Picture 587561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vy 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96" b="77383"/>
                  <a:stretch/>
                </pic:blipFill>
                <pic:spPr bwMode="auto">
                  <a:xfrm>
                    <a:off x="0" y="0"/>
                    <a:ext cx="7315200" cy="2139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E86"/>
    <w:multiLevelType w:val="multilevel"/>
    <w:tmpl w:val="C37E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E522F"/>
    <w:multiLevelType w:val="hybridMultilevel"/>
    <w:tmpl w:val="157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F4717"/>
    <w:multiLevelType w:val="hybridMultilevel"/>
    <w:tmpl w:val="1948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2FA6"/>
    <w:multiLevelType w:val="multilevel"/>
    <w:tmpl w:val="644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C3F56"/>
    <w:multiLevelType w:val="multilevel"/>
    <w:tmpl w:val="035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6678D8"/>
    <w:multiLevelType w:val="hybridMultilevel"/>
    <w:tmpl w:val="48A6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835A0"/>
    <w:multiLevelType w:val="multilevel"/>
    <w:tmpl w:val="E094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337DB3"/>
    <w:multiLevelType w:val="multilevel"/>
    <w:tmpl w:val="25F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A41CBD"/>
    <w:multiLevelType w:val="hybridMultilevel"/>
    <w:tmpl w:val="6C1E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2F44"/>
    <w:multiLevelType w:val="hybridMultilevel"/>
    <w:tmpl w:val="53FA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097F"/>
    <w:multiLevelType w:val="hybridMultilevel"/>
    <w:tmpl w:val="168E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95FE2"/>
    <w:multiLevelType w:val="hybridMultilevel"/>
    <w:tmpl w:val="65D2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C5DE8"/>
    <w:multiLevelType w:val="multilevel"/>
    <w:tmpl w:val="A854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2F290B"/>
    <w:multiLevelType w:val="hybridMultilevel"/>
    <w:tmpl w:val="7934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975F1"/>
    <w:multiLevelType w:val="multilevel"/>
    <w:tmpl w:val="F5E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A60AF0"/>
    <w:multiLevelType w:val="multilevel"/>
    <w:tmpl w:val="6D3E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2C19D6"/>
    <w:multiLevelType w:val="hybridMultilevel"/>
    <w:tmpl w:val="CB36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136E1"/>
    <w:multiLevelType w:val="hybridMultilevel"/>
    <w:tmpl w:val="C55E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F2FFF"/>
    <w:multiLevelType w:val="hybridMultilevel"/>
    <w:tmpl w:val="0A96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90339"/>
    <w:multiLevelType w:val="hybridMultilevel"/>
    <w:tmpl w:val="ADCA98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64424EE"/>
    <w:multiLevelType w:val="hybridMultilevel"/>
    <w:tmpl w:val="0A24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C6B02"/>
    <w:multiLevelType w:val="hybridMultilevel"/>
    <w:tmpl w:val="142A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76409"/>
    <w:multiLevelType w:val="multilevel"/>
    <w:tmpl w:val="CE02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057DE1"/>
    <w:multiLevelType w:val="hybridMultilevel"/>
    <w:tmpl w:val="F344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D5E57"/>
    <w:multiLevelType w:val="hybridMultilevel"/>
    <w:tmpl w:val="F820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A34E1"/>
    <w:multiLevelType w:val="hybridMultilevel"/>
    <w:tmpl w:val="2CB4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37717"/>
    <w:multiLevelType w:val="hybridMultilevel"/>
    <w:tmpl w:val="07604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D605B5"/>
    <w:multiLevelType w:val="multilevel"/>
    <w:tmpl w:val="4198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AC70CC"/>
    <w:multiLevelType w:val="multilevel"/>
    <w:tmpl w:val="3B88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255286"/>
    <w:multiLevelType w:val="hybridMultilevel"/>
    <w:tmpl w:val="636C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43766"/>
    <w:multiLevelType w:val="multilevel"/>
    <w:tmpl w:val="224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68465D"/>
    <w:multiLevelType w:val="multilevel"/>
    <w:tmpl w:val="5352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FD24FC"/>
    <w:multiLevelType w:val="hybridMultilevel"/>
    <w:tmpl w:val="2A3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F3A0B"/>
    <w:multiLevelType w:val="multilevel"/>
    <w:tmpl w:val="037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4D62C9"/>
    <w:multiLevelType w:val="multilevel"/>
    <w:tmpl w:val="270A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ED4F72"/>
    <w:multiLevelType w:val="hybridMultilevel"/>
    <w:tmpl w:val="33B0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01B11"/>
    <w:multiLevelType w:val="multilevel"/>
    <w:tmpl w:val="6D3E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3A5182"/>
    <w:multiLevelType w:val="multilevel"/>
    <w:tmpl w:val="515A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8079914">
    <w:abstractNumId w:val="9"/>
  </w:num>
  <w:num w:numId="2" w16cid:durableId="1194073244">
    <w:abstractNumId w:val="22"/>
  </w:num>
  <w:num w:numId="3" w16cid:durableId="1522891538">
    <w:abstractNumId w:val="17"/>
  </w:num>
  <w:num w:numId="4" w16cid:durableId="1520898962">
    <w:abstractNumId w:val="2"/>
  </w:num>
  <w:num w:numId="5" w16cid:durableId="2025548398">
    <w:abstractNumId w:val="21"/>
  </w:num>
  <w:num w:numId="6" w16cid:durableId="1792242961">
    <w:abstractNumId w:val="26"/>
  </w:num>
  <w:num w:numId="7" w16cid:durableId="1035472069">
    <w:abstractNumId w:val="5"/>
  </w:num>
  <w:num w:numId="8" w16cid:durableId="1267466587">
    <w:abstractNumId w:val="8"/>
  </w:num>
  <w:num w:numId="9" w16cid:durableId="1323509996">
    <w:abstractNumId w:val="12"/>
  </w:num>
  <w:num w:numId="10" w16cid:durableId="195972164">
    <w:abstractNumId w:val="31"/>
  </w:num>
  <w:num w:numId="11" w16cid:durableId="698315108">
    <w:abstractNumId w:val="18"/>
  </w:num>
  <w:num w:numId="12" w16cid:durableId="385107861">
    <w:abstractNumId w:val="20"/>
  </w:num>
  <w:num w:numId="13" w16cid:durableId="973565431">
    <w:abstractNumId w:val="27"/>
  </w:num>
  <w:num w:numId="14" w16cid:durableId="825050837">
    <w:abstractNumId w:val="11"/>
  </w:num>
  <w:num w:numId="15" w16cid:durableId="1437359453">
    <w:abstractNumId w:val="1"/>
  </w:num>
  <w:num w:numId="16" w16cid:durableId="1800411636">
    <w:abstractNumId w:val="30"/>
  </w:num>
  <w:num w:numId="17" w16cid:durableId="930626025">
    <w:abstractNumId w:val="19"/>
  </w:num>
  <w:num w:numId="18" w16cid:durableId="100152059">
    <w:abstractNumId w:val="33"/>
  </w:num>
  <w:num w:numId="19" w16cid:durableId="7296040">
    <w:abstractNumId w:val="25"/>
  </w:num>
  <w:num w:numId="20" w16cid:durableId="772239814">
    <w:abstractNumId w:val="36"/>
  </w:num>
  <w:num w:numId="21" w16cid:durableId="358629833">
    <w:abstractNumId w:val="3"/>
  </w:num>
  <w:num w:numId="22" w16cid:durableId="1580558602">
    <w:abstractNumId w:val="4"/>
  </w:num>
  <w:num w:numId="23" w16cid:durableId="2003580895">
    <w:abstractNumId w:val="38"/>
  </w:num>
  <w:num w:numId="24" w16cid:durableId="276956947">
    <w:abstractNumId w:val="13"/>
  </w:num>
  <w:num w:numId="25" w16cid:durableId="890775366">
    <w:abstractNumId w:val="7"/>
  </w:num>
  <w:num w:numId="26" w16cid:durableId="1673801043">
    <w:abstractNumId w:val="29"/>
  </w:num>
  <w:num w:numId="27" w16cid:durableId="1957056046">
    <w:abstractNumId w:val="0"/>
  </w:num>
  <w:num w:numId="28" w16cid:durableId="1280408100">
    <w:abstractNumId w:val="34"/>
  </w:num>
  <w:num w:numId="29" w16cid:durableId="163670405">
    <w:abstractNumId w:val="35"/>
  </w:num>
  <w:num w:numId="30" w16cid:durableId="1712917338">
    <w:abstractNumId w:val="28"/>
  </w:num>
  <w:num w:numId="31" w16cid:durableId="558320556">
    <w:abstractNumId w:val="15"/>
  </w:num>
  <w:num w:numId="32" w16cid:durableId="197547200">
    <w:abstractNumId w:val="23"/>
  </w:num>
  <w:num w:numId="33" w16cid:durableId="1460958208">
    <w:abstractNumId w:val="6"/>
  </w:num>
  <w:num w:numId="34" w16cid:durableId="1252279861">
    <w:abstractNumId w:val="37"/>
  </w:num>
  <w:num w:numId="35" w16cid:durableId="1688098729">
    <w:abstractNumId w:val="32"/>
  </w:num>
  <w:num w:numId="36" w16cid:durableId="317657680">
    <w:abstractNumId w:val="10"/>
  </w:num>
  <w:num w:numId="37" w16cid:durableId="1353458505">
    <w:abstractNumId w:val="24"/>
  </w:num>
  <w:num w:numId="38" w16cid:durableId="658273118">
    <w:abstractNumId w:val="14"/>
  </w:num>
  <w:num w:numId="39" w16cid:durableId="11748748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CA"/>
    <w:rsid w:val="00001EA3"/>
    <w:rsid w:val="000122EB"/>
    <w:rsid w:val="00015AB3"/>
    <w:rsid w:val="00022D81"/>
    <w:rsid w:val="000263CA"/>
    <w:rsid w:val="00032531"/>
    <w:rsid w:val="000345C0"/>
    <w:rsid w:val="00035C26"/>
    <w:rsid w:val="000401D2"/>
    <w:rsid w:val="00072C35"/>
    <w:rsid w:val="0007347C"/>
    <w:rsid w:val="00073C2F"/>
    <w:rsid w:val="00074D26"/>
    <w:rsid w:val="000865FB"/>
    <w:rsid w:val="0009034F"/>
    <w:rsid w:val="000906E3"/>
    <w:rsid w:val="000A2239"/>
    <w:rsid w:val="000B0A99"/>
    <w:rsid w:val="000B5C55"/>
    <w:rsid w:val="000C3BCF"/>
    <w:rsid w:val="000C427B"/>
    <w:rsid w:val="000C442C"/>
    <w:rsid w:val="000D11E2"/>
    <w:rsid w:val="000D77D7"/>
    <w:rsid w:val="000E5387"/>
    <w:rsid w:val="000F1D1A"/>
    <w:rsid w:val="000F51E0"/>
    <w:rsid w:val="00101590"/>
    <w:rsid w:val="00102755"/>
    <w:rsid w:val="00111349"/>
    <w:rsid w:val="00120776"/>
    <w:rsid w:val="00132E77"/>
    <w:rsid w:val="0014089C"/>
    <w:rsid w:val="00141C55"/>
    <w:rsid w:val="0014628D"/>
    <w:rsid w:val="0014794A"/>
    <w:rsid w:val="00153AE5"/>
    <w:rsid w:val="00163CF3"/>
    <w:rsid w:val="00166CAB"/>
    <w:rsid w:val="0017485D"/>
    <w:rsid w:val="00175D4F"/>
    <w:rsid w:val="00175EC6"/>
    <w:rsid w:val="0018006C"/>
    <w:rsid w:val="00181BE4"/>
    <w:rsid w:val="00186741"/>
    <w:rsid w:val="001928D2"/>
    <w:rsid w:val="00192F96"/>
    <w:rsid w:val="001978B4"/>
    <w:rsid w:val="001A6219"/>
    <w:rsid w:val="001B5D5E"/>
    <w:rsid w:val="001B763D"/>
    <w:rsid w:val="001C7D64"/>
    <w:rsid w:val="001D0EEB"/>
    <w:rsid w:val="001D1C9A"/>
    <w:rsid w:val="001D5A15"/>
    <w:rsid w:val="001E0287"/>
    <w:rsid w:val="001E1673"/>
    <w:rsid w:val="001E213D"/>
    <w:rsid w:val="001E77C3"/>
    <w:rsid w:val="001F56E6"/>
    <w:rsid w:val="00200098"/>
    <w:rsid w:val="00200743"/>
    <w:rsid w:val="002129A5"/>
    <w:rsid w:val="00214208"/>
    <w:rsid w:val="00215EF6"/>
    <w:rsid w:val="00217593"/>
    <w:rsid w:val="00217812"/>
    <w:rsid w:val="00222AF6"/>
    <w:rsid w:val="0023061A"/>
    <w:rsid w:val="002552B2"/>
    <w:rsid w:val="0025725C"/>
    <w:rsid w:val="00264971"/>
    <w:rsid w:val="00272F77"/>
    <w:rsid w:val="002752BF"/>
    <w:rsid w:val="002761D0"/>
    <w:rsid w:val="00280A3B"/>
    <w:rsid w:val="00282CBF"/>
    <w:rsid w:val="002940B7"/>
    <w:rsid w:val="002943D5"/>
    <w:rsid w:val="0029458B"/>
    <w:rsid w:val="00295254"/>
    <w:rsid w:val="00296275"/>
    <w:rsid w:val="002B1666"/>
    <w:rsid w:val="002C4DB7"/>
    <w:rsid w:val="002C64E2"/>
    <w:rsid w:val="002C6B23"/>
    <w:rsid w:val="002D010C"/>
    <w:rsid w:val="002D57D4"/>
    <w:rsid w:val="002E1B60"/>
    <w:rsid w:val="002E3DC2"/>
    <w:rsid w:val="002E511B"/>
    <w:rsid w:val="002F1D65"/>
    <w:rsid w:val="002F3268"/>
    <w:rsid w:val="003002E2"/>
    <w:rsid w:val="00307F56"/>
    <w:rsid w:val="00316AE0"/>
    <w:rsid w:val="003239CD"/>
    <w:rsid w:val="0032420A"/>
    <w:rsid w:val="00324D8B"/>
    <w:rsid w:val="00331D92"/>
    <w:rsid w:val="003361A7"/>
    <w:rsid w:val="00353804"/>
    <w:rsid w:val="00355053"/>
    <w:rsid w:val="0036510E"/>
    <w:rsid w:val="003748CB"/>
    <w:rsid w:val="00377281"/>
    <w:rsid w:val="0038150B"/>
    <w:rsid w:val="00383502"/>
    <w:rsid w:val="003871B1"/>
    <w:rsid w:val="003901C6"/>
    <w:rsid w:val="003A4ACC"/>
    <w:rsid w:val="003B0525"/>
    <w:rsid w:val="003B21D5"/>
    <w:rsid w:val="003B2224"/>
    <w:rsid w:val="003B7595"/>
    <w:rsid w:val="003C1991"/>
    <w:rsid w:val="003C1B70"/>
    <w:rsid w:val="003E2EAA"/>
    <w:rsid w:val="003E3470"/>
    <w:rsid w:val="003F4ED1"/>
    <w:rsid w:val="004000F2"/>
    <w:rsid w:val="00412BED"/>
    <w:rsid w:val="00414081"/>
    <w:rsid w:val="004201B1"/>
    <w:rsid w:val="0042426B"/>
    <w:rsid w:val="00430B42"/>
    <w:rsid w:val="00431254"/>
    <w:rsid w:val="00436A79"/>
    <w:rsid w:val="00444B79"/>
    <w:rsid w:val="00445A20"/>
    <w:rsid w:val="0045149C"/>
    <w:rsid w:val="00461D7E"/>
    <w:rsid w:val="00463744"/>
    <w:rsid w:val="004642DD"/>
    <w:rsid w:val="0047129E"/>
    <w:rsid w:val="004727E0"/>
    <w:rsid w:val="0048381F"/>
    <w:rsid w:val="0049019C"/>
    <w:rsid w:val="00491058"/>
    <w:rsid w:val="00491E18"/>
    <w:rsid w:val="004927A6"/>
    <w:rsid w:val="004950A1"/>
    <w:rsid w:val="004A3EC6"/>
    <w:rsid w:val="004B09E0"/>
    <w:rsid w:val="004C32CD"/>
    <w:rsid w:val="004C751C"/>
    <w:rsid w:val="004D2F5D"/>
    <w:rsid w:val="004D33D8"/>
    <w:rsid w:val="004D4DE7"/>
    <w:rsid w:val="004E0B1D"/>
    <w:rsid w:val="004E2981"/>
    <w:rsid w:val="004E5680"/>
    <w:rsid w:val="004F1E53"/>
    <w:rsid w:val="004F638B"/>
    <w:rsid w:val="00501E7B"/>
    <w:rsid w:val="00507AF4"/>
    <w:rsid w:val="00510C03"/>
    <w:rsid w:val="00511742"/>
    <w:rsid w:val="00513945"/>
    <w:rsid w:val="00520B4C"/>
    <w:rsid w:val="00522593"/>
    <w:rsid w:val="00525200"/>
    <w:rsid w:val="00537F12"/>
    <w:rsid w:val="00553AD0"/>
    <w:rsid w:val="005549DE"/>
    <w:rsid w:val="00555570"/>
    <w:rsid w:val="005618CB"/>
    <w:rsid w:val="005668DD"/>
    <w:rsid w:val="00577122"/>
    <w:rsid w:val="00585FDA"/>
    <w:rsid w:val="00587F63"/>
    <w:rsid w:val="0059208F"/>
    <w:rsid w:val="005A4EAD"/>
    <w:rsid w:val="005A53FF"/>
    <w:rsid w:val="005C517E"/>
    <w:rsid w:val="005D0B57"/>
    <w:rsid w:val="005D5D10"/>
    <w:rsid w:val="005D7958"/>
    <w:rsid w:val="005D7E40"/>
    <w:rsid w:val="005E2FBB"/>
    <w:rsid w:val="005E3DA0"/>
    <w:rsid w:val="005F2706"/>
    <w:rsid w:val="005F586F"/>
    <w:rsid w:val="005F5C9A"/>
    <w:rsid w:val="005F7498"/>
    <w:rsid w:val="005F7868"/>
    <w:rsid w:val="006007D4"/>
    <w:rsid w:val="00603A6E"/>
    <w:rsid w:val="00604C65"/>
    <w:rsid w:val="0061384D"/>
    <w:rsid w:val="006166EE"/>
    <w:rsid w:val="00622932"/>
    <w:rsid w:val="0063360F"/>
    <w:rsid w:val="00634FBB"/>
    <w:rsid w:val="00636098"/>
    <w:rsid w:val="00640919"/>
    <w:rsid w:val="00640C91"/>
    <w:rsid w:val="00655264"/>
    <w:rsid w:val="00656487"/>
    <w:rsid w:val="00660981"/>
    <w:rsid w:val="006629DB"/>
    <w:rsid w:val="006648B5"/>
    <w:rsid w:val="00666107"/>
    <w:rsid w:val="00677C4C"/>
    <w:rsid w:val="00682DF6"/>
    <w:rsid w:val="00691F44"/>
    <w:rsid w:val="00697473"/>
    <w:rsid w:val="006A052E"/>
    <w:rsid w:val="006A0B94"/>
    <w:rsid w:val="006B248A"/>
    <w:rsid w:val="006B26FB"/>
    <w:rsid w:val="006C13F7"/>
    <w:rsid w:val="006C2B20"/>
    <w:rsid w:val="006C36A4"/>
    <w:rsid w:val="006C59E9"/>
    <w:rsid w:val="006D3AD4"/>
    <w:rsid w:val="006D7F5E"/>
    <w:rsid w:val="006E2457"/>
    <w:rsid w:val="006F1224"/>
    <w:rsid w:val="007007F0"/>
    <w:rsid w:val="00720A78"/>
    <w:rsid w:val="007213AD"/>
    <w:rsid w:val="00733866"/>
    <w:rsid w:val="00740893"/>
    <w:rsid w:val="007462D7"/>
    <w:rsid w:val="00750E75"/>
    <w:rsid w:val="00753ABE"/>
    <w:rsid w:val="0076163B"/>
    <w:rsid w:val="00761859"/>
    <w:rsid w:val="00764D0E"/>
    <w:rsid w:val="00777D4A"/>
    <w:rsid w:val="00781DB5"/>
    <w:rsid w:val="00784133"/>
    <w:rsid w:val="007852DD"/>
    <w:rsid w:val="007871E1"/>
    <w:rsid w:val="00790757"/>
    <w:rsid w:val="00796CEC"/>
    <w:rsid w:val="007979A6"/>
    <w:rsid w:val="007A2EE2"/>
    <w:rsid w:val="007B4012"/>
    <w:rsid w:val="007C0086"/>
    <w:rsid w:val="007D4AFB"/>
    <w:rsid w:val="007E35B0"/>
    <w:rsid w:val="007E5A3C"/>
    <w:rsid w:val="007E5F43"/>
    <w:rsid w:val="007F187C"/>
    <w:rsid w:val="007F4624"/>
    <w:rsid w:val="00801331"/>
    <w:rsid w:val="00810804"/>
    <w:rsid w:val="00811EF8"/>
    <w:rsid w:val="00812F4A"/>
    <w:rsid w:val="00813C6D"/>
    <w:rsid w:val="00816C22"/>
    <w:rsid w:val="00817D3C"/>
    <w:rsid w:val="00817F98"/>
    <w:rsid w:val="00821EEF"/>
    <w:rsid w:val="00831AF7"/>
    <w:rsid w:val="00841793"/>
    <w:rsid w:val="00847262"/>
    <w:rsid w:val="00866CC5"/>
    <w:rsid w:val="008807DB"/>
    <w:rsid w:val="00882337"/>
    <w:rsid w:val="00882DDC"/>
    <w:rsid w:val="00887928"/>
    <w:rsid w:val="0089017F"/>
    <w:rsid w:val="00896018"/>
    <w:rsid w:val="008A28F6"/>
    <w:rsid w:val="008A573E"/>
    <w:rsid w:val="008A75F9"/>
    <w:rsid w:val="008B2AD0"/>
    <w:rsid w:val="008B7EB0"/>
    <w:rsid w:val="008C3DEF"/>
    <w:rsid w:val="008D24EA"/>
    <w:rsid w:val="008D2D39"/>
    <w:rsid w:val="008D4866"/>
    <w:rsid w:val="008E022B"/>
    <w:rsid w:val="008E3BFC"/>
    <w:rsid w:val="008E6595"/>
    <w:rsid w:val="008F4CA4"/>
    <w:rsid w:val="008F4D29"/>
    <w:rsid w:val="008F71AD"/>
    <w:rsid w:val="008F7579"/>
    <w:rsid w:val="009005B4"/>
    <w:rsid w:val="00903C3D"/>
    <w:rsid w:val="00906973"/>
    <w:rsid w:val="00917781"/>
    <w:rsid w:val="009217B3"/>
    <w:rsid w:val="009366A2"/>
    <w:rsid w:val="009375BF"/>
    <w:rsid w:val="00943D81"/>
    <w:rsid w:val="00943F45"/>
    <w:rsid w:val="00964933"/>
    <w:rsid w:val="00966FDF"/>
    <w:rsid w:val="00971C03"/>
    <w:rsid w:val="0097258E"/>
    <w:rsid w:val="009740F8"/>
    <w:rsid w:val="00976011"/>
    <w:rsid w:val="00977CA6"/>
    <w:rsid w:val="009815CF"/>
    <w:rsid w:val="00981F53"/>
    <w:rsid w:val="00982AEB"/>
    <w:rsid w:val="0098333D"/>
    <w:rsid w:val="00992AAA"/>
    <w:rsid w:val="00995224"/>
    <w:rsid w:val="009A4BB7"/>
    <w:rsid w:val="009C2861"/>
    <w:rsid w:val="009C43D0"/>
    <w:rsid w:val="009C4788"/>
    <w:rsid w:val="009C7E9E"/>
    <w:rsid w:val="009D0C9C"/>
    <w:rsid w:val="009D4A43"/>
    <w:rsid w:val="009E0751"/>
    <w:rsid w:val="009E7A11"/>
    <w:rsid w:val="009F3726"/>
    <w:rsid w:val="009F4E37"/>
    <w:rsid w:val="00A02916"/>
    <w:rsid w:val="00A07618"/>
    <w:rsid w:val="00A144A3"/>
    <w:rsid w:val="00A24944"/>
    <w:rsid w:val="00A26BFF"/>
    <w:rsid w:val="00A30873"/>
    <w:rsid w:val="00A4709D"/>
    <w:rsid w:val="00A514A8"/>
    <w:rsid w:val="00A56142"/>
    <w:rsid w:val="00A57829"/>
    <w:rsid w:val="00A6618A"/>
    <w:rsid w:val="00A66FEB"/>
    <w:rsid w:val="00A8166B"/>
    <w:rsid w:val="00A9137C"/>
    <w:rsid w:val="00A92CAA"/>
    <w:rsid w:val="00AB27B5"/>
    <w:rsid w:val="00AB5174"/>
    <w:rsid w:val="00AC3F68"/>
    <w:rsid w:val="00AD06CE"/>
    <w:rsid w:val="00AD1C61"/>
    <w:rsid w:val="00AE28AE"/>
    <w:rsid w:val="00AE54FA"/>
    <w:rsid w:val="00AE5E9C"/>
    <w:rsid w:val="00AF1017"/>
    <w:rsid w:val="00B02911"/>
    <w:rsid w:val="00B102C7"/>
    <w:rsid w:val="00B15AE1"/>
    <w:rsid w:val="00B26051"/>
    <w:rsid w:val="00B27D76"/>
    <w:rsid w:val="00B3296E"/>
    <w:rsid w:val="00B34502"/>
    <w:rsid w:val="00B35B57"/>
    <w:rsid w:val="00B40308"/>
    <w:rsid w:val="00B4133C"/>
    <w:rsid w:val="00B455EE"/>
    <w:rsid w:val="00B60341"/>
    <w:rsid w:val="00B6142F"/>
    <w:rsid w:val="00B61DF0"/>
    <w:rsid w:val="00B6521E"/>
    <w:rsid w:val="00B77113"/>
    <w:rsid w:val="00B85D62"/>
    <w:rsid w:val="00B8600D"/>
    <w:rsid w:val="00B90AD7"/>
    <w:rsid w:val="00B931FE"/>
    <w:rsid w:val="00B965DF"/>
    <w:rsid w:val="00BC0B92"/>
    <w:rsid w:val="00BD49C8"/>
    <w:rsid w:val="00BD73AA"/>
    <w:rsid w:val="00BF110D"/>
    <w:rsid w:val="00C06914"/>
    <w:rsid w:val="00C14DAB"/>
    <w:rsid w:val="00C259A7"/>
    <w:rsid w:val="00C33DDE"/>
    <w:rsid w:val="00C361B9"/>
    <w:rsid w:val="00C40438"/>
    <w:rsid w:val="00C426C5"/>
    <w:rsid w:val="00C51D5B"/>
    <w:rsid w:val="00C52113"/>
    <w:rsid w:val="00C53E64"/>
    <w:rsid w:val="00C61E03"/>
    <w:rsid w:val="00C6528E"/>
    <w:rsid w:val="00C657EE"/>
    <w:rsid w:val="00C669AA"/>
    <w:rsid w:val="00C71F90"/>
    <w:rsid w:val="00C80C83"/>
    <w:rsid w:val="00C82D9C"/>
    <w:rsid w:val="00C909C0"/>
    <w:rsid w:val="00C949E3"/>
    <w:rsid w:val="00CA479B"/>
    <w:rsid w:val="00CA6259"/>
    <w:rsid w:val="00CB3E83"/>
    <w:rsid w:val="00CB5EF0"/>
    <w:rsid w:val="00CC17D7"/>
    <w:rsid w:val="00CD5161"/>
    <w:rsid w:val="00CD6D23"/>
    <w:rsid w:val="00CE72A6"/>
    <w:rsid w:val="00CF0880"/>
    <w:rsid w:val="00CF2802"/>
    <w:rsid w:val="00D0074E"/>
    <w:rsid w:val="00D03A5B"/>
    <w:rsid w:val="00D137C3"/>
    <w:rsid w:val="00D1515D"/>
    <w:rsid w:val="00D17CE8"/>
    <w:rsid w:val="00D22454"/>
    <w:rsid w:val="00D25D96"/>
    <w:rsid w:val="00D30F49"/>
    <w:rsid w:val="00D364BA"/>
    <w:rsid w:val="00D40690"/>
    <w:rsid w:val="00D40A47"/>
    <w:rsid w:val="00D43B76"/>
    <w:rsid w:val="00D656BA"/>
    <w:rsid w:val="00D67BCC"/>
    <w:rsid w:val="00D72ADE"/>
    <w:rsid w:val="00D74A6B"/>
    <w:rsid w:val="00D83171"/>
    <w:rsid w:val="00D86459"/>
    <w:rsid w:val="00D91A8C"/>
    <w:rsid w:val="00D979BD"/>
    <w:rsid w:val="00DA496B"/>
    <w:rsid w:val="00DA4F2A"/>
    <w:rsid w:val="00DA7CDC"/>
    <w:rsid w:val="00DB36A5"/>
    <w:rsid w:val="00DB7D15"/>
    <w:rsid w:val="00DC0691"/>
    <w:rsid w:val="00DC0CE7"/>
    <w:rsid w:val="00DC1754"/>
    <w:rsid w:val="00DE56D6"/>
    <w:rsid w:val="00DF558B"/>
    <w:rsid w:val="00E049E7"/>
    <w:rsid w:val="00E058D7"/>
    <w:rsid w:val="00E05F94"/>
    <w:rsid w:val="00E112D0"/>
    <w:rsid w:val="00E14DDE"/>
    <w:rsid w:val="00E25C15"/>
    <w:rsid w:val="00E27BB1"/>
    <w:rsid w:val="00E51D60"/>
    <w:rsid w:val="00E55230"/>
    <w:rsid w:val="00E57A06"/>
    <w:rsid w:val="00E60BFD"/>
    <w:rsid w:val="00E60FE1"/>
    <w:rsid w:val="00E670EE"/>
    <w:rsid w:val="00E7361A"/>
    <w:rsid w:val="00E7535C"/>
    <w:rsid w:val="00E83333"/>
    <w:rsid w:val="00E83994"/>
    <w:rsid w:val="00E91708"/>
    <w:rsid w:val="00E928BF"/>
    <w:rsid w:val="00EA1B99"/>
    <w:rsid w:val="00EA3BE6"/>
    <w:rsid w:val="00EB5DDE"/>
    <w:rsid w:val="00EC0112"/>
    <w:rsid w:val="00EC346D"/>
    <w:rsid w:val="00F124C6"/>
    <w:rsid w:val="00F14C5B"/>
    <w:rsid w:val="00F22AB7"/>
    <w:rsid w:val="00F24A6D"/>
    <w:rsid w:val="00F3439B"/>
    <w:rsid w:val="00F3645E"/>
    <w:rsid w:val="00F4063B"/>
    <w:rsid w:val="00F43BCD"/>
    <w:rsid w:val="00F66512"/>
    <w:rsid w:val="00F759CB"/>
    <w:rsid w:val="00F86B1C"/>
    <w:rsid w:val="00F9264A"/>
    <w:rsid w:val="00F97F3C"/>
    <w:rsid w:val="00FA67F1"/>
    <w:rsid w:val="00FA7DE5"/>
    <w:rsid w:val="00FB1966"/>
    <w:rsid w:val="00FB1976"/>
    <w:rsid w:val="00FB1DE3"/>
    <w:rsid w:val="00FB2FA8"/>
    <w:rsid w:val="00FB6470"/>
    <w:rsid w:val="00FB6ACD"/>
    <w:rsid w:val="00FE0207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92321"/>
  <w15:chartTrackingRefBased/>
  <w15:docId w15:val="{7FED31F0-B658-4052-9EE0-97A26AD1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B1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FE0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34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527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5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40919"/>
    <w:rPr>
      <w:b/>
      <w:bCs/>
    </w:rPr>
  </w:style>
  <w:style w:type="paragraph" w:styleId="NormalWeb">
    <w:name w:val="Normal (Web)"/>
    <w:basedOn w:val="Normal"/>
    <w:uiPriority w:val="99"/>
    <w:unhideWhenUsed/>
    <w:rsid w:val="008B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1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stransfer.paperform.co/" TargetMode="External"/><Relationship Id="rId18" Type="http://schemas.openxmlformats.org/officeDocument/2006/relationships/hyperlink" Target="https://mn.hb101.org/places.ht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nnepin.us/residents/human-services/seniors-disabilities-suppor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c-379cbd4e-be3f-43d7-8383-5433-cdn-endpoint.azureedge.net/-/media/hennepinus/residents/human-services/coordinated-entry/Service-providers-Hennepin-CES-Transfer-Policy-525.docx?rev=5a1f19e98d484e3ca5ccbf879872dbc0&amp;hash=EB0E66E806FB2AF458A2D2E1218F7FCC" TargetMode="External"/><Relationship Id="rId17" Type="http://schemas.openxmlformats.org/officeDocument/2006/relationships/hyperlink" Target="https://mc-379cbd4e-be3f-43d7-8383-5433-cdn-endpoint.azureedge.net/-/media/hennepinus/business/work-with-hennepin-county/current-future-providers/housing-support-fidelity-standards.docx?rev=31f9cf1062c040c8a717146952d5f11d&amp;hash=CA94C7B698FF2B47C3E8DF461986677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CES.Hennepin@hennepin.us" TargetMode="External"/><Relationship Id="rId20" Type="http://schemas.openxmlformats.org/officeDocument/2006/relationships/hyperlink" Target="https://mylegalaid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379cbd4e-be3f-43d7-8383-5433-cdn-endpoint.azureedge.net/-/media/hennepinus/business/work-with-hennepin-county/current-future-providers/community-based-housing-support-provider-list.pdf?rev=7320ba2066a64572902d3f1ca44ef455&amp;hash=A98A2AB5834359C1C653CF44F6CDAC83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HS.Housing.GRH@hennepin.us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housinglink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c-379cbd4e-be3f-43d7-8383-5433-cdn-endpoint.azureedge.net/-/media/hennepinus/business/work-with-hennepin-county/current-future-providers/transfer-request-form.docx?rev=172b65032aae4d878c9eaaf22c57be65&amp;hash=0AFF5338E1313D355A200CE693C4962A" TargetMode="External"/><Relationship Id="rId22" Type="http://schemas.openxmlformats.org/officeDocument/2006/relationships/hyperlink" Target="https://www.hennepin.us/residents/human-services/homelessness-resource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6EE8AADC7B3448A018908034BC78B" ma:contentTypeVersion="20" ma:contentTypeDescription="Create a new document." ma:contentTypeScope="" ma:versionID="d29b46e6cc8e0c27748e36ee24ca64be">
  <xsd:schema xmlns:xsd="http://www.w3.org/2001/XMLSchema" xmlns:xs="http://www.w3.org/2001/XMLSchema" xmlns:p="http://schemas.microsoft.com/office/2006/metadata/properties" xmlns:ns2="28c7da88-0147-4433-8562-6bbb4ea0efec" xmlns:ns3="cb9caa7d-97d8-404e-8bb6-b7eb401ffaf3" xmlns:ns4="66dacab7-a067-4aaf-b88d-e77dc82a1624" targetNamespace="http://schemas.microsoft.com/office/2006/metadata/properties" ma:root="true" ma:fieldsID="8d345344e510fec8d4cf1f20b0cefb62" ns2:_="" ns3:_="" ns4:_="">
    <xsd:import namespace="28c7da88-0147-4433-8562-6bbb4ea0efec"/>
    <xsd:import namespace="cb9caa7d-97d8-404e-8bb6-b7eb401ffaf3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" minOccurs="0"/>
                <xsd:element ref="ns2:Information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7da88-0147-4433-8562-6bbb4ea0e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default="[today]" ma:format="DateOnly" ma:internalName="Date">
      <xsd:simpleType>
        <xsd:restriction base="dms:DateTime"/>
      </xsd:simpleType>
    </xsd:element>
    <xsd:element name="Information" ma:index="23" nillable="true" ma:displayName="Information " ma:format="Dropdown" ma:internalName="Information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aa7d-97d8-404e-8bb6-b7eb401ff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c8418e-702f-4762-942a-9f94a04b32b0}" ma:internalName="TaxCatchAll" ma:showField="CatchAllData" ma:web="cb9caa7d-97d8-404e-8bb6-b7eb401ff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7da88-0147-4433-8562-6bbb4ea0efec">
      <Terms xmlns="http://schemas.microsoft.com/office/infopath/2007/PartnerControls"/>
    </lcf76f155ced4ddcb4097134ff3c332f>
    <Information xmlns="28c7da88-0147-4433-8562-6bbb4ea0efec" xsi:nil="true"/>
    <TaxCatchAll xmlns="66dacab7-a067-4aaf-b88d-e77dc82a1624" xsi:nil="true"/>
    <Date xmlns="28c7da88-0147-4433-8562-6bbb4ea0efec">2024-07-17T20:05:41+00:00</Date>
    <Notes xmlns="28c7da88-0147-4433-8562-6bbb4ea0efec" xsi:nil="true"/>
  </documentManagement>
</p:properties>
</file>

<file path=customXml/itemProps1.xml><?xml version="1.0" encoding="utf-8"?>
<ds:datastoreItem xmlns:ds="http://schemas.openxmlformats.org/officeDocument/2006/customXml" ds:itemID="{03892D31-967C-45DD-BDF6-514AF8D3E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7da88-0147-4433-8562-6bbb4ea0efec"/>
    <ds:schemaRef ds:uri="cb9caa7d-97d8-404e-8bb6-b7eb401ffaf3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E861E-15D3-4DFD-8DE0-0262F882C3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D89EF7-16D4-42F7-B7FD-3C5DFBD0B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21C10-E65C-407B-BAC0-7E5751D48B4A}">
  <ds:schemaRefs>
    <ds:schemaRef ds:uri="http://schemas.microsoft.com/office/2006/metadata/properties"/>
    <ds:schemaRef ds:uri="http://schemas.microsoft.com/office/infopath/2007/PartnerControls"/>
    <ds:schemaRef ds:uri="28c7da88-0147-4433-8562-6bbb4ea0efec"/>
    <ds:schemaRef ds:uri="66dacab7-a067-4aaf-b88d-e77dc82a16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with blue header</vt:lpstr>
    </vt:vector>
  </TitlesOfParts>
  <Company>Hennepin County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blue header</dc:title>
  <dc:subject/>
  <dc:creator>Abbey R Fahnhorst</dc:creator>
  <cp:keywords/>
  <dc:description/>
  <cp:lastModifiedBy>Katie Moore</cp:lastModifiedBy>
  <cp:revision>115</cp:revision>
  <dcterms:created xsi:type="dcterms:W3CDTF">2025-09-22T14:32:00Z</dcterms:created>
  <dcterms:modified xsi:type="dcterms:W3CDTF">2025-11-14T16:20:00Z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0x010100EF56EE8AADC7B3448A018908034BC78B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  <property fmtid="{D5CDD505-2E9C-101B-9397-08002B2CF9AE}" pid="6" name="MediaServiceImageTags">
    <vt:lpwstr/>
  </property>
  <property fmtid="{D5CDD505-2E9C-101B-9397-08002B2CF9AE}" pid="7" name="StaffName">
    <vt:lpwstr/>
  </property>
</Properties>
</file>